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D9" w:rsidRDefault="00010179">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2</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R1-</w:t>
      </w:r>
      <w:r w:rsidR="00F30C61">
        <w:rPr>
          <w:rFonts w:ascii="Arial" w:hAnsi="Arial" w:cs="Arial"/>
          <w:sz w:val="22"/>
        </w:rPr>
        <w:t>2005964</w:t>
      </w:r>
    </w:p>
    <w:p w:rsidR="009A44D9" w:rsidRDefault="00010179">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Aug</w:t>
      </w:r>
      <w:r>
        <w:rPr>
          <w:rFonts w:ascii="Arial" w:hAnsi="Arial" w:cs="Arial"/>
          <w:sz w:val="22"/>
        </w:rPr>
        <w:t xml:space="preserve"> </w:t>
      </w:r>
      <w:r>
        <w:rPr>
          <w:rFonts w:ascii="Arial" w:hAnsi="Arial" w:cs="Arial" w:hint="eastAsia"/>
          <w:sz w:val="22"/>
        </w:rPr>
        <w:t>17</w:t>
      </w:r>
      <w:r>
        <w:rPr>
          <w:rFonts w:ascii="Arial" w:hAnsi="Arial" w:cs="Arial"/>
          <w:sz w:val="22"/>
          <w:vertAlign w:val="superscript"/>
        </w:rPr>
        <w:t>th</w:t>
      </w:r>
      <w:r>
        <w:rPr>
          <w:rFonts w:ascii="Arial" w:hAnsi="Arial" w:cs="Arial"/>
          <w:sz w:val="22"/>
        </w:rPr>
        <w:t xml:space="preserve"> –</w:t>
      </w:r>
      <w:r w:rsidR="00C441AC">
        <w:rPr>
          <w:rFonts w:ascii="Arial" w:hAnsi="Arial" w:cs="Arial"/>
          <w:sz w:val="22"/>
        </w:rPr>
        <w:t xml:space="preserve"> </w:t>
      </w:r>
      <w:r>
        <w:rPr>
          <w:rFonts w:ascii="Arial" w:hAnsi="Arial" w:cs="Arial" w:hint="eastAsia"/>
          <w:sz w:val="22"/>
        </w:rPr>
        <w:t>28</w:t>
      </w:r>
      <w:r>
        <w:rPr>
          <w:rFonts w:ascii="Arial" w:hAnsi="Arial" w:cs="Arial"/>
          <w:sz w:val="22"/>
          <w:vertAlign w:val="superscript"/>
        </w:rPr>
        <w:t>th</w:t>
      </w:r>
      <w:r>
        <w:rPr>
          <w:rFonts w:ascii="Arial" w:hAnsi="Arial" w:cs="Arial"/>
          <w:sz w:val="22"/>
        </w:rPr>
        <w:t>, 2020</w:t>
      </w:r>
    </w:p>
    <w:p w:rsidR="009A44D9" w:rsidRDefault="009A44D9">
      <w:pPr>
        <w:pStyle w:val="3GPPHeader"/>
        <w:snapToGrid w:val="0"/>
        <w:rPr>
          <w:rFonts w:cs="Arial"/>
          <w:sz w:val="22"/>
        </w:rPr>
      </w:pPr>
    </w:p>
    <w:p w:rsidR="009A44D9" w:rsidRDefault="00010179">
      <w:pPr>
        <w:pStyle w:val="3GPPHeader"/>
        <w:snapToGrid w:val="0"/>
        <w:rPr>
          <w:rFonts w:cs="Arial"/>
          <w:sz w:val="22"/>
        </w:rPr>
      </w:pPr>
      <w:r>
        <w:rPr>
          <w:rFonts w:cs="Arial"/>
          <w:sz w:val="22"/>
        </w:rPr>
        <w:t>Source:</w:t>
      </w:r>
      <w:r>
        <w:rPr>
          <w:rFonts w:cs="Arial"/>
          <w:sz w:val="22"/>
        </w:rPr>
        <w:tab/>
        <w:t>ZTE</w:t>
      </w:r>
    </w:p>
    <w:p w:rsidR="009A44D9" w:rsidRDefault="00010179">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sidR="00A21305">
        <w:rPr>
          <w:rFonts w:cs="Arial"/>
          <w:sz w:val="22"/>
        </w:rPr>
        <w:t>UL</w:t>
      </w:r>
      <w:r w:rsidR="00A21305">
        <w:rPr>
          <w:rFonts w:cs="Arial" w:hint="eastAsia"/>
          <w:sz w:val="22"/>
        </w:rPr>
        <w:t xml:space="preserve"> </w:t>
      </w:r>
      <w:r>
        <w:rPr>
          <w:rFonts w:cs="Arial" w:hint="eastAsia"/>
          <w:sz w:val="22"/>
        </w:rPr>
        <w:t xml:space="preserve">synchronization </w:t>
      </w:r>
      <w:r>
        <w:rPr>
          <w:rFonts w:cs="Arial"/>
          <w:sz w:val="22"/>
        </w:rPr>
        <w:t>for NTN</w:t>
      </w:r>
    </w:p>
    <w:p w:rsidR="009A44D9" w:rsidRDefault="00010179">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9A44D9" w:rsidRDefault="00010179">
      <w:pPr>
        <w:pBdr>
          <w:bottom w:val="single" w:sz="6" w:space="1" w:color="auto"/>
        </w:pBdr>
        <w:snapToGrid w:val="0"/>
        <w:rPr>
          <w:rFonts w:ascii="Arial" w:hAnsi="Arial"/>
          <w:b/>
        </w:rPr>
      </w:pPr>
      <w:r>
        <w:rPr>
          <w:rFonts w:ascii="Arial" w:hAnsi="Arial"/>
          <w:b/>
        </w:rPr>
        <w:t>Document for:  Discussion</w:t>
      </w:r>
      <w:bookmarkEnd w:id="0"/>
      <w:bookmarkEnd w:id="1"/>
    </w:p>
    <w:p w:rsidR="009A44D9" w:rsidRDefault="00010179">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9A44D9" w:rsidRDefault="00010179">
      <w:pPr>
        <w:spacing w:afterLines="50" w:after="120" w:line="240" w:lineRule="auto"/>
        <w:ind w:firstLine="420"/>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sz w:val="20"/>
          <w:szCs w:val="20"/>
        </w:rPr>
        <w:t xml:space="preserve">#86 meeting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 NTN WI has been endorsed with following scope in RAN1:</w:t>
      </w:r>
    </w:p>
    <w:p w:rsidR="009A44D9" w:rsidRDefault="00010179">
      <w:pPr>
        <w:ind w:leftChars="200" w:left="440"/>
        <w:rPr>
          <w:rFonts w:ascii="Times New Roman" w:eastAsia="宋体" w:hAnsi="Times New Roman"/>
          <w:i/>
          <w:sz w:val="20"/>
          <w:szCs w:val="20"/>
          <w:lang w:val="en-GB"/>
        </w:rPr>
      </w:pPr>
      <w:r>
        <w:rPr>
          <w:rFonts w:ascii="Times New Roman" w:hAnsi="Times New Roman"/>
          <w:i/>
          <w:sz w:val="20"/>
          <w:szCs w:val="20"/>
        </w:rPr>
        <w:t>Enhancing features to address the identified issues due to long propagation delays, large Doppler effects, and moving cells in NTN,</w:t>
      </w:r>
      <w:r>
        <w:rPr>
          <w:rFonts w:ascii="Times New Roman" w:hAnsi="Times New Roman"/>
          <w:i/>
          <w:sz w:val="20"/>
          <w:szCs w:val="20"/>
          <w:lang w:eastAsia="ja-JP"/>
        </w:rPr>
        <w:t xml:space="preserve"> the following should be specified (see TR 38.821):</w:t>
      </w:r>
    </w:p>
    <w:p w:rsidR="009A44D9" w:rsidRDefault="00010179">
      <w:pPr>
        <w:numPr>
          <w:ilvl w:val="0"/>
          <w:numId w:val="4"/>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Pr>
          <w:rFonts w:ascii="Times New Roman" w:hAnsi="Times New Roman"/>
          <w:i/>
          <w:sz w:val="20"/>
          <w:szCs w:val="20"/>
        </w:rPr>
        <w:t>Timing relationship enhancements[RAN1,RAN2]</w:t>
      </w:r>
    </w:p>
    <w:p w:rsidR="009A44D9" w:rsidRDefault="00010179">
      <w:pPr>
        <w:numPr>
          <w:ilvl w:val="0"/>
          <w:numId w:val="4"/>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Pr>
          <w:rFonts w:ascii="Times New Roman" w:hAnsi="Times New Roman"/>
          <w:i/>
          <w:sz w:val="20"/>
          <w:szCs w:val="20"/>
        </w:rPr>
        <w:t>Enhancements on UL time and frequency synchronization [RAN1,RAN2]</w:t>
      </w:r>
    </w:p>
    <w:p w:rsidR="009A44D9" w:rsidRDefault="00010179">
      <w:pPr>
        <w:numPr>
          <w:ilvl w:val="0"/>
          <w:numId w:val="4"/>
        </w:numPr>
        <w:overflowPunct w:val="0"/>
        <w:autoSpaceDE w:val="0"/>
        <w:autoSpaceDN w:val="0"/>
        <w:adjustRightInd w:val="0"/>
        <w:spacing w:before="100" w:beforeAutospacing="1" w:after="100" w:afterAutospacing="1" w:line="240" w:lineRule="auto"/>
        <w:ind w:leftChars="200" w:left="800"/>
        <w:textAlignment w:val="baseline"/>
        <w:rPr>
          <w:rFonts w:ascii="Times New Roman" w:hAnsi="Times New Roman"/>
          <w:i/>
          <w:sz w:val="20"/>
          <w:szCs w:val="20"/>
        </w:rPr>
      </w:pPr>
      <w:r>
        <w:rPr>
          <w:rFonts w:ascii="Times New Roman" w:hAnsi="Times New Roman"/>
          <w:i/>
          <w:sz w:val="20"/>
          <w:szCs w:val="20"/>
        </w:rPr>
        <w:t>HARQ</w:t>
      </w:r>
    </w:p>
    <w:p w:rsidR="009A44D9" w:rsidRDefault="00010179">
      <w:pPr>
        <w:numPr>
          <w:ilvl w:val="1"/>
          <w:numId w:val="4"/>
        </w:numPr>
        <w:overflowPunct w:val="0"/>
        <w:autoSpaceDE w:val="0"/>
        <w:autoSpaceDN w:val="0"/>
        <w:adjustRightInd w:val="0"/>
        <w:spacing w:before="100" w:beforeAutospacing="1" w:after="100" w:afterAutospacing="1" w:line="240" w:lineRule="auto"/>
        <w:ind w:leftChars="527" w:left="1519"/>
        <w:textAlignment w:val="baseline"/>
        <w:rPr>
          <w:rFonts w:ascii="Times New Roman" w:hAnsi="Times New Roman"/>
          <w:i/>
          <w:sz w:val="20"/>
          <w:szCs w:val="20"/>
        </w:rPr>
      </w:pPr>
      <w:r>
        <w:rPr>
          <w:rFonts w:ascii="Times New Roman" w:hAnsi="Times New Roman"/>
          <w:i/>
          <w:sz w:val="20"/>
          <w:szCs w:val="20"/>
        </w:rPr>
        <w:t>Number of HARQ process [RAN1]</w:t>
      </w:r>
    </w:p>
    <w:p w:rsidR="009A44D9" w:rsidRDefault="00010179">
      <w:pPr>
        <w:numPr>
          <w:ilvl w:val="1"/>
          <w:numId w:val="4"/>
        </w:numPr>
        <w:overflowPunct w:val="0"/>
        <w:autoSpaceDE w:val="0"/>
        <w:autoSpaceDN w:val="0"/>
        <w:adjustRightInd w:val="0"/>
        <w:spacing w:before="100" w:beforeAutospacing="1" w:after="100" w:afterAutospacing="1" w:line="240" w:lineRule="auto"/>
        <w:ind w:leftChars="527" w:left="1519"/>
        <w:textAlignment w:val="baseline"/>
        <w:rPr>
          <w:rFonts w:ascii="Times New Roman" w:hAnsi="Times New Roman"/>
          <w:i/>
          <w:sz w:val="20"/>
          <w:szCs w:val="20"/>
        </w:rPr>
      </w:pPr>
      <w:r>
        <w:rPr>
          <w:rFonts w:ascii="Times New Roman" w:hAnsi="Times New Roman"/>
          <w:i/>
          <w:sz w:val="20"/>
          <w:szCs w:val="20"/>
        </w:rPr>
        <w:t>Enabling / disabling of HARQ feedback as described in the TR 38.821 [RAN1&amp;2]</w:t>
      </w:r>
    </w:p>
    <w:p w:rsidR="009A44D9" w:rsidRDefault="00010179" w:rsidP="0009708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detailed analysis on the synchronization </w:t>
      </w:r>
      <w:r w:rsidR="00B6421D">
        <w:rPr>
          <w:rFonts w:ascii="Times New Roman" w:hAnsi="Times New Roman"/>
          <w:sz w:val="20"/>
          <w:szCs w:val="20"/>
        </w:rPr>
        <w:t xml:space="preserve">for UL </w:t>
      </w:r>
      <w:r>
        <w:rPr>
          <w:rFonts w:ascii="Times New Roman" w:hAnsi="Times New Roman"/>
          <w:sz w:val="20"/>
          <w:szCs w:val="20"/>
        </w:rPr>
        <w:t xml:space="preserve">in NTN is conducted with corresponding clarification on the assumption and UE capability. Enhancements with consideration on implementation complexity, flexibility for all scenarios, are elaborated. </w:t>
      </w:r>
    </w:p>
    <w:p w:rsidR="009A44D9" w:rsidRDefault="00010179">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Definition on the terminology</w:t>
      </w:r>
    </w:p>
    <w:p w:rsidR="009A44D9" w:rsidRDefault="00010179" w:rsidP="00097080">
      <w:pPr>
        <w:ind w:left="420"/>
        <w:jc w:val="both"/>
        <w:rPr>
          <w:rFonts w:ascii="Times New Roman" w:hAnsi="Times New Roman" w:cs="Times New Roman"/>
          <w:sz w:val="20"/>
          <w:szCs w:val="20"/>
        </w:rPr>
      </w:pPr>
      <w:r>
        <w:rPr>
          <w:rFonts w:ascii="Times New Roman" w:hAnsi="Times New Roman" w:cs="Times New Roman"/>
          <w:sz w:val="20"/>
          <w:szCs w:val="20"/>
        </w:rPr>
        <w:t>W.r.t the service provided by the air- or space-borne NTN-BS, wireless connection is assumed for both service and feeder link</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especially in the transparent load case with single hop as illustrated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_Ref40185943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In this way, the overall transmission between UE and NTN-BS will be impacted by the channel condition (e.g., </w:t>
      </w:r>
      <w:r w:rsidR="0061579B">
        <w:rPr>
          <w:rFonts w:ascii="Times New Roman" w:hAnsi="Times New Roman" w:cs="Times New Roman" w:hint="eastAsia"/>
          <w:sz w:val="20"/>
          <w:szCs w:val="20"/>
        </w:rPr>
        <w:t>f</w:t>
      </w:r>
      <w:r>
        <w:rPr>
          <w:rFonts w:ascii="Times New Roman" w:hAnsi="Times New Roman" w:cs="Times New Roman"/>
          <w:sz w:val="20"/>
          <w:szCs w:val="20"/>
        </w:rPr>
        <w:t>requency and timing offset) of both links, which is more complicate</w:t>
      </w:r>
      <w:r w:rsidR="004D379F">
        <w:rPr>
          <w:rFonts w:ascii="Times New Roman" w:hAnsi="Times New Roman" w:cs="Times New Roman"/>
          <w:sz w:val="20"/>
          <w:szCs w:val="20"/>
        </w:rPr>
        <w:t xml:space="preserve">d than the terrestrial network </w:t>
      </w:r>
      <w:r>
        <w:rPr>
          <w:rFonts w:ascii="Times New Roman" w:hAnsi="Times New Roman" w:cs="Times New Roman"/>
          <w:sz w:val="20"/>
          <w:szCs w:val="20"/>
        </w:rPr>
        <w:t>since only the impact of service link is considered in latter one.</w:t>
      </w:r>
    </w:p>
    <w:p w:rsidR="009A44D9" w:rsidRDefault="00010179" w:rsidP="00097080">
      <w:pPr>
        <w:ind w:left="420"/>
        <w:jc w:val="both"/>
        <w:rPr>
          <w:rFonts w:ascii="Times New Roman" w:hAnsi="Times New Roman" w:cs="Times New Roman"/>
          <w:sz w:val="20"/>
          <w:szCs w:val="20"/>
        </w:rPr>
      </w:pPr>
      <w:r>
        <w:rPr>
          <w:rFonts w:ascii="Times New Roman" w:hAnsi="Times New Roman" w:cs="Times New Roman"/>
          <w:sz w:val="20"/>
          <w:szCs w:val="20"/>
        </w:rPr>
        <w:t xml:space="preserve">During the SI, for overcoming the aforementioned impacts, solutions are proposed to handle different channel components suffered by each transmission with corresponding assumption on BS/UE behavior. For avoiding the potential confusion, the following terminologies are proposed to facilitate the discussion during WI: </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Reference point</w:t>
      </w:r>
      <w:r>
        <w:rPr>
          <w:rFonts w:ascii="Times New Roman" w:hAnsi="Times New Roman" w:cs="Times New Roman"/>
          <w:sz w:val="20"/>
          <w:szCs w:val="20"/>
        </w:rPr>
        <w:t xml:space="preserve">: it refers to one “node” within the DL/UL link between UE and BS. As typical example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_Ref40185943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such node can be BS (i.e., gateway as Reference Point-0), or air-/space-borne platform (i.e., satellite as Reference Point-1) or “virtual node” used by the network (i.e., beam center on the ground as Reference Point-2).</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Common X</w:t>
      </w:r>
      <w:r>
        <w:rPr>
          <w:rFonts w:ascii="Times New Roman" w:hAnsi="Times New Roman" w:cs="Times New Roman"/>
          <w:sz w:val="20"/>
          <w:szCs w:val="20"/>
        </w:rPr>
        <w:t>: it refers to the channel impact X, e.g., X can be frequency or timing offset, originated from the connection between BS and reference point for DL/UL link, which are shared by UEs within certain coverage region, e.g., per beam.</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UE-specific X</w:t>
      </w:r>
      <w:r>
        <w:rPr>
          <w:rFonts w:ascii="Times New Roman" w:hAnsi="Times New Roman" w:cs="Times New Roman"/>
          <w:sz w:val="20"/>
          <w:szCs w:val="20"/>
        </w:rPr>
        <w:t>: it refers to the channel impact X, e.g., X can be frequency or timing offset, originated from the connection between UE and reference point for DL/UL link, which is different per UE within certain coverage region.</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 xml:space="preserve">Full </w:t>
      </w:r>
      <w:r w:rsidR="00275DCE">
        <w:rPr>
          <w:rFonts w:ascii="Times New Roman" w:hAnsi="Times New Roman" w:cs="Times New Roman"/>
          <w:b/>
          <w:i/>
          <w:sz w:val="20"/>
          <w:szCs w:val="20"/>
          <w:u w:val="single"/>
        </w:rPr>
        <w:t>X</w:t>
      </w:r>
      <w:r w:rsidR="00275DCE" w:rsidRPr="00275DCE">
        <w:rPr>
          <w:rFonts w:ascii="Times New Roman" w:hAnsi="Times New Roman" w:cs="Times New Roman"/>
          <w:b/>
          <w:sz w:val="20"/>
          <w:szCs w:val="20"/>
          <w:u w:val="single"/>
        </w:rPr>
        <w:t>:</w:t>
      </w:r>
      <w:r>
        <w:rPr>
          <w:rFonts w:ascii="Times New Roman" w:hAnsi="Times New Roman" w:cs="Times New Roman"/>
          <w:sz w:val="20"/>
          <w:szCs w:val="20"/>
        </w:rPr>
        <w:t xml:space="preserve"> it refers to the channel impact X, e.g., X can be frequency or timing offset, experienced by the BS-UE</w:t>
      </w:r>
      <w:r w:rsidR="00A70F38">
        <w:rPr>
          <w:rFonts w:ascii="Times New Roman" w:hAnsi="Times New Roman" w:cs="Times New Roman"/>
          <w:sz w:val="20"/>
          <w:szCs w:val="20"/>
        </w:rPr>
        <w:t xml:space="preserve"> (i.e., end-to-end)</w:t>
      </w:r>
      <w:r>
        <w:rPr>
          <w:rFonts w:ascii="Times New Roman" w:hAnsi="Times New Roman" w:cs="Times New Roman"/>
          <w:sz w:val="20"/>
          <w:szCs w:val="20"/>
        </w:rPr>
        <w:t xml:space="preserve"> link. Such value is determined as the combination of common and UE-specific X. Correction of Full X is expected to ensure the link performance. For example, similar as NR, correction of the full timing offset at UE side is </w:t>
      </w:r>
      <w:r w:rsidR="00F61B71">
        <w:rPr>
          <w:rFonts w:ascii="Times New Roman" w:hAnsi="Times New Roman" w:cs="Times New Roman"/>
          <w:sz w:val="20"/>
          <w:szCs w:val="20"/>
        </w:rPr>
        <w:t xml:space="preserve">conducted </w:t>
      </w:r>
      <w:r>
        <w:rPr>
          <w:rFonts w:ascii="Times New Roman" w:hAnsi="Times New Roman" w:cs="Times New Roman"/>
          <w:sz w:val="20"/>
          <w:szCs w:val="20"/>
        </w:rPr>
        <w:t xml:space="preserve">via Timing advance mechanism to ensure the DL-UL frame </w:t>
      </w:r>
      <w:r>
        <w:rPr>
          <w:rFonts w:ascii="Times New Roman" w:hAnsi="Times New Roman" w:cs="Times New Roman" w:hint="eastAsia"/>
          <w:sz w:val="20"/>
          <w:szCs w:val="20"/>
        </w:rPr>
        <w:t>boundary</w:t>
      </w:r>
      <w:r>
        <w:rPr>
          <w:rFonts w:ascii="Times New Roman" w:hAnsi="Times New Roman" w:cs="Times New Roman"/>
          <w:sz w:val="20"/>
          <w:szCs w:val="20"/>
        </w:rPr>
        <w:t xml:space="preserve"> alignment at BS side.</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Pre-compensation</w:t>
      </w:r>
      <w:r>
        <w:rPr>
          <w:rFonts w:ascii="Times New Roman" w:hAnsi="Times New Roman" w:cs="Times New Roman"/>
          <w:sz w:val="20"/>
          <w:szCs w:val="20"/>
        </w:rPr>
        <w:t>: it refers to the action to correct channel impacts, e.g., frequency or timing offset, conducted by either BS or UE before the DL or UL transmission, respectively.</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lastRenderedPageBreak/>
        <w:t>Post-compensation</w:t>
      </w:r>
      <w:r>
        <w:rPr>
          <w:rFonts w:ascii="Times New Roman" w:hAnsi="Times New Roman" w:cs="Times New Roman"/>
          <w:sz w:val="20"/>
          <w:szCs w:val="20"/>
        </w:rPr>
        <w:t>: it refers to the action to correct channel impacts, e.g., frequency offset, conducted by either BS or UE after the DL or UL reception, respectively.</w:t>
      </w:r>
      <w:r w:rsidR="00291D82">
        <w:rPr>
          <w:rFonts w:ascii="Times New Roman" w:hAnsi="Times New Roman" w:cs="Times New Roman"/>
          <w:sz w:val="20"/>
          <w:szCs w:val="20"/>
        </w:rPr>
        <w:t xml:space="preserve"> Such operation is almost implementation based operation without any specification impacts.</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b/>
          <w:i/>
          <w:sz w:val="20"/>
          <w:szCs w:val="20"/>
          <w:u w:val="single"/>
        </w:rPr>
      </w:pPr>
      <w:r>
        <w:rPr>
          <w:rFonts w:ascii="Times New Roman" w:hAnsi="Times New Roman" w:cs="Times New Roman"/>
          <w:b/>
          <w:i/>
          <w:sz w:val="20"/>
          <w:szCs w:val="20"/>
          <w:u w:val="single"/>
        </w:rPr>
        <w:t>BS-dominated:</w:t>
      </w:r>
      <w:r>
        <w:rPr>
          <w:rFonts w:ascii="Times New Roman" w:hAnsi="Times New Roman" w:cs="Times New Roman"/>
          <w:sz w:val="20"/>
          <w:szCs w:val="20"/>
        </w:rPr>
        <w:t xml:space="preserve"> it refers to the behavior conducted in DL/UL mainly according to the determination, e.g., including indication/configuration from BS. For example, the value of all parameters for TA adjustment is up to the indication from BS. </w:t>
      </w:r>
    </w:p>
    <w:p w:rsidR="009A44D9" w:rsidRDefault="00010179" w:rsidP="00097080">
      <w:pPr>
        <w:pStyle w:val="ListParagraph"/>
        <w:numPr>
          <w:ilvl w:val="0"/>
          <w:numId w:val="5"/>
        </w:numPr>
        <w:spacing w:after="60" w:line="240" w:lineRule="auto"/>
        <w:ind w:firstLineChars="0"/>
        <w:jc w:val="both"/>
        <w:rPr>
          <w:rFonts w:ascii="Times New Roman" w:hAnsi="Times New Roman" w:cs="Times New Roman"/>
          <w:sz w:val="20"/>
          <w:szCs w:val="20"/>
        </w:rPr>
      </w:pPr>
      <w:r>
        <w:rPr>
          <w:rFonts w:ascii="Times New Roman" w:hAnsi="Times New Roman" w:cs="Times New Roman"/>
          <w:b/>
          <w:i/>
          <w:sz w:val="20"/>
          <w:szCs w:val="20"/>
          <w:u w:val="single"/>
        </w:rPr>
        <w:t>UE-dominated</w:t>
      </w:r>
      <w:r>
        <w:rPr>
          <w:rFonts w:ascii="Times New Roman" w:hAnsi="Times New Roman" w:cs="Times New Roman"/>
          <w:sz w:val="20"/>
          <w:szCs w:val="20"/>
        </w:rPr>
        <w:t>: it refers to the behavior conducted in DL/UL mainly according to the determination, e.g., including calculation/decision from UE. For example, the value of all or partial parameters for TA adjustment is calculated by UE-self.</w:t>
      </w:r>
    </w:p>
    <w:p w:rsidR="009A44D9" w:rsidRDefault="00010179">
      <w:pPr>
        <w:pStyle w:val="ListParagraph"/>
        <w:keepNext/>
        <w:spacing w:beforeLines="50" w:before="120" w:afterLines="50" w:after="120" w:line="240" w:lineRule="auto"/>
        <w:ind w:left="860" w:firstLineChars="0" w:firstLine="0"/>
        <w:jc w:val="center"/>
        <w:rPr>
          <w:b/>
        </w:rPr>
      </w:pPr>
      <w:r>
        <w:rPr>
          <w:b/>
          <w:noProof/>
        </w:rPr>
        <w:drawing>
          <wp:inline distT="0" distB="0" distL="0" distR="0">
            <wp:extent cx="2639060" cy="23209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66254" cy="2344849"/>
                    </a:xfrm>
                    <a:prstGeom prst="rect">
                      <a:avLst/>
                    </a:prstGeom>
                    <a:noFill/>
                  </pic:spPr>
                </pic:pic>
              </a:graphicData>
            </a:graphic>
          </wp:inline>
        </w:drawing>
      </w:r>
    </w:p>
    <w:p w:rsidR="009A44D9" w:rsidRDefault="00010179">
      <w:pPr>
        <w:pStyle w:val="ListParagraph"/>
        <w:keepNext/>
        <w:spacing w:beforeLines="50" w:before="120" w:afterLines="50" w:after="120" w:line="240" w:lineRule="auto"/>
        <w:ind w:left="860" w:firstLineChars="0" w:firstLine="0"/>
        <w:jc w:val="center"/>
        <w:rPr>
          <w:rFonts w:ascii="Times New Roman" w:eastAsia="宋体" w:hAnsi="Times New Roman" w:cs="Times New Roman"/>
          <w:sz w:val="20"/>
          <w:szCs w:val="20"/>
        </w:rPr>
      </w:pPr>
      <w:bookmarkStart w:id="3" w:name="_Ref40185943"/>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bookmarkEnd w:id="3"/>
      <w:r>
        <w:rPr>
          <w:rFonts w:ascii="Times New Roman" w:hAnsi="Times New Roman" w:cs="Times New Roman"/>
          <w:sz w:val="20"/>
          <w:szCs w:val="20"/>
        </w:rPr>
        <w:t xml:space="preserve"> Illustration of overall NTN based service along BS movement</w:t>
      </w:r>
    </w:p>
    <w:p w:rsidR="009A44D9" w:rsidRDefault="00010179">
      <w:pPr>
        <w:spacing w:beforeLines="50" w:before="120" w:afterLines="50" w:after="120" w:line="240" w:lineRule="auto"/>
        <w:ind w:left="42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i/>
          <w:sz w:val="20"/>
          <w:szCs w:val="20"/>
        </w:rPr>
        <w:t xml:space="preserve">Terminologies i.e., </w:t>
      </w:r>
      <w:r>
        <w:rPr>
          <w:rFonts w:ascii="Times New Roman" w:hAnsi="Times New Roman" w:cs="Times New Roman"/>
          <w:b/>
          <w:i/>
          <w:sz w:val="20"/>
          <w:szCs w:val="20"/>
        </w:rPr>
        <w:t>Reference point</w:t>
      </w:r>
      <w:r>
        <w:rPr>
          <w:rFonts w:ascii="Times New Roman" w:hAnsi="Times New Roman" w:cs="Times New Roman"/>
          <w:i/>
          <w:sz w:val="20"/>
          <w:szCs w:val="20"/>
        </w:rPr>
        <w:t xml:space="preserve">, </w:t>
      </w:r>
      <w:r>
        <w:rPr>
          <w:rFonts w:ascii="Times New Roman" w:hAnsi="Times New Roman" w:cs="Times New Roman"/>
          <w:b/>
          <w:i/>
          <w:sz w:val="20"/>
          <w:szCs w:val="20"/>
        </w:rPr>
        <w:t>Common X</w:t>
      </w:r>
      <w:r>
        <w:rPr>
          <w:rFonts w:ascii="Times New Roman" w:hAnsi="Times New Roman" w:cs="Times New Roman"/>
          <w:i/>
          <w:sz w:val="20"/>
          <w:szCs w:val="20"/>
        </w:rPr>
        <w:t>,</w:t>
      </w:r>
      <w:r>
        <w:rPr>
          <w:rFonts w:ascii="Times New Roman" w:hAnsi="Times New Roman" w:cs="Times New Roman"/>
          <w:b/>
          <w:i/>
          <w:sz w:val="20"/>
          <w:szCs w:val="20"/>
        </w:rPr>
        <w:t xml:space="preserve"> UE-specific X</w:t>
      </w:r>
      <w:r>
        <w:rPr>
          <w:rFonts w:ascii="Times New Roman" w:hAnsi="Times New Roman" w:cs="Times New Roman"/>
          <w:i/>
          <w:sz w:val="20"/>
          <w:szCs w:val="20"/>
        </w:rPr>
        <w:t>,</w:t>
      </w:r>
      <w:r>
        <w:rPr>
          <w:rFonts w:ascii="Times New Roman" w:hAnsi="Times New Roman" w:cs="Times New Roman"/>
          <w:b/>
          <w:i/>
          <w:sz w:val="20"/>
          <w:szCs w:val="20"/>
        </w:rPr>
        <w:t xml:space="preserve"> Full X, Pre-compensation</w:t>
      </w:r>
      <w:r>
        <w:rPr>
          <w:rFonts w:ascii="Times New Roman" w:hAnsi="Times New Roman" w:cs="Times New Roman"/>
          <w:sz w:val="20"/>
          <w:szCs w:val="20"/>
        </w:rPr>
        <w:t xml:space="preserve">, </w:t>
      </w:r>
      <w:r>
        <w:rPr>
          <w:rFonts w:ascii="Times New Roman" w:hAnsi="Times New Roman" w:cs="Times New Roman"/>
          <w:b/>
          <w:i/>
          <w:sz w:val="20"/>
          <w:szCs w:val="20"/>
        </w:rPr>
        <w:t>Post-compensation</w:t>
      </w:r>
      <w:r>
        <w:rPr>
          <w:rFonts w:ascii="Times New Roman" w:eastAsia="宋体" w:hAnsi="Times New Roman"/>
          <w:i/>
          <w:sz w:val="20"/>
          <w:szCs w:val="20"/>
        </w:rPr>
        <w:t xml:space="preserve">, </w:t>
      </w:r>
      <w:r>
        <w:rPr>
          <w:rFonts w:ascii="Times New Roman" w:hAnsi="Times New Roman" w:cs="Times New Roman"/>
          <w:b/>
          <w:i/>
          <w:sz w:val="20"/>
          <w:szCs w:val="20"/>
        </w:rPr>
        <w:t xml:space="preserve">BS-dominated and UE-dominated </w:t>
      </w:r>
      <w:r>
        <w:rPr>
          <w:rFonts w:ascii="Times New Roman" w:eastAsia="宋体" w:hAnsi="Times New Roman"/>
          <w:i/>
          <w:sz w:val="20"/>
          <w:szCs w:val="20"/>
        </w:rPr>
        <w:t xml:space="preserve">with corresponding </w:t>
      </w:r>
      <w:r>
        <w:rPr>
          <w:rFonts w:ascii="Times New Roman" w:eastAsia="宋体" w:hAnsi="Times New Roman" w:hint="eastAsia"/>
          <w:i/>
          <w:sz w:val="20"/>
          <w:szCs w:val="20"/>
        </w:rPr>
        <w:t>definition</w:t>
      </w:r>
      <w:r>
        <w:rPr>
          <w:rFonts w:ascii="Times New Roman" w:eastAsia="宋体" w:hAnsi="Times New Roman"/>
          <w:i/>
          <w:sz w:val="20"/>
          <w:szCs w:val="20"/>
        </w:rPr>
        <w:t xml:space="preserve"> can be considered as baseline for</w:t>
      </w:r>
      <w:r>
        <w:rPr>
          <w:rFonts w:ascii="Times New Roman" w:hAnsi="Times New Roman" w:cs="Times New Roman"/>
          <w:i/>
          <w:sz w:val="20"/>
          <w:szCs w:val="20"/>
        </w:rPr>
        <w:t xml:space="preserve"> discussion.</w:t>
      </w:r>
    </w:p>
    <w:p w:rsidR="009A44D9" w:rsidRDefault="00010179">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rPr>
      </w:pPr>
      <w:bookmarkStart w:id="4" w:name="_Ref47537212"/>
      <w:r>
        <w:rPr>
          <w:rFonts w:eastAsia="黑体" w:cs="Times New Roman"/>
          <w:b/>
          <w:bCs/>
          <w:sz w:val="28"/>
          <w:szCs w:val="30"/>
          <w:lang w:val="en-US"/>
        </w:rPr>
        <w:t>Clarification on the assumptions and UE capability</w:t>
      </w:r>
      <w:bookmarkEnd w:id="4"/>
    </w:p>
    <w:p w:rsidR="009A44D9" w:rsidRDefault="00010179">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to the aforementioned terminologies, clarification on the assumption and UE capability is also need to facilitate the discussion in WI. </w:t>
      </w:r>
    </w:p>
    <w:p w:rsidR="009A44D9" w:rsidRDefault="00010179" w:rsidP="00097080">
      <w:pPr>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For example, during the SI, both assumptions, i.e., GNSS capable UE and pre-compensation capable UE, are used during the discussion to justify the feasibility of UE-dominated solution for synchronization. However, these two assumptions should be well distinguished as different UE capabilities due to the different requirements on implementation</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M</w:t>
      </w:r>
      <w:r>
        <w:rPr>
          <w:rFonts w:ascii="Times New Roman" w:eastAsia="宋体" w:hAnsi="Times New Roman" w:cs="Times New Roman" w:hint="eastAsia"/>
          <w:sz w:val="20"/>
          <w:szCs w:val="20"/>
        </w:rPr>
        <w:t>ore specifically</w:t>
      </w:r>
      <w:r>
        <w:rPr>
          <w:rFonts w:ascii="Times New Roman" w:eastAsia="宋体" w:hAnsi="Times New Roman" w:cs="Times New Roman"/>
          <w:sz w:val="20"/>
          <w:szCs w:val="20"/>
        </w:rPr>
        <w:t>,</w:t>
      </w:r>
    </w:p>
    <w:p w:rsidR="009A44D9" w:rsidRDefault="00010179" w:rsidP="00097080">
      <w:pPr>
        <w:numPr>
          <w:ilvl w:val="0"/>
          <w:numId w:val="6"/>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GNSS </w:t>
      </w:r>
      <w:r>
        <w:rPr>
          <w:rFonts w:ascii="Times New Roman" w:eastAsia="宋体" w:hAnsi="Times New Roman" w:cs="Times New Roman"/>
          <w:sz w:val="20"/>
          <w:szCs w:val="20"/>
        </w:rPr>
        <w:t>capable:</w:t>
      </w:r>
    </w:p>
    <w:p w:rsidR="009A44D9" w:rsidRDefault="00010179" w:rsidP="00097080">
      <w:pPr>
        <w:numPr>
          <w:ilvl w:val="7"/>
          <w:numId w:val="0"/>
        </w:numPr>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To support this function, the UE should be able to receive the GNSS signaling to determine its own location and performing clock synchronization if needed. Such functionality is mainly achieved based on the corresponding G</w:t>
      </w:r>
      <w:r>
        <w:rPr>
          <w:rFonts w:ascii="Times New Roman" w:eastAsia="宋体" w:hAnsi="Times New Roman" w:cs="Times New Roman" w:hint="eastAsia"/>
          <w:sz w:val="20"/>
          <w:szCs w:val="20"/>
        </w:rPr>
        <w:t>NSS module</w:t>
      </w:r>
      <w:r>
        <w:rPr>
          <w:rFonts w:ascii="Times New Roman" w:eastAsia="宋体" w:hAnsi="Times New Roman" w:cs="Times New Roman"/>
          <w:sz w:val="20"/>
          <w:szCs w:val="20"/>
        </w:rPr>
        <w:t xml:space="preserve"> and the accuracy is determined by the GNSS signal strength. In the typical satellite system, such information is always used </w:t>
      </w:r>
      <w:r w:rsidR="00275DCE">
        <w:rPr>
          <w:rFonts w:ascii="Times New Roman" w:eastAsia="宋体" w:hAnsi="Times New Roman" w:cs="Times New Roman" w:hint="eastAsia"/>
          <w:sz w:val="20"/>
          <w:szCs w:val="20"/>
        </w:rPr>
        <w:t>by</w:t>
      </w:r>
      <w:r w:rsidR="00275DCE">
        <w:rPr>
          <w:rFonts w:ascii="Times New Roman" w:eastAsia="宋体" w:hAnsi="Times New Roman" w:cs="Times New Roman"/>
          <w:sz w:val="20"/>
          <w:szCs w:val="20"/>
        </w:rPr>
        <w:t xml:space="preserve"> </w:t>
      </w:r>
      <w:r>
        <w:rPr>
          <w:rFonts w:ascii="Times New Roman" w:eastAsia="宋体" w:hAnsi="Times New Roman" w:cs="Times New Roman"/>
          <w:sz w:val="20"/>
          <w:szCs w:val="20"/>
        </w:rPr>
        <w:t>the BS to conduct the positioning specific scheduling, e.g., beam adjustment.</w:t>
      </w:r>
    </w:p>
    <w:p w:rsidR="009A44D9" w:rsidRDefault="00010179" w:rsidP="00097080">
      <w:pPr>
        <w:numPr>
          <w:ilvl w:val="0"/>
          <w:numId w:val="7"/>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Pre-compensation </w:t>
      </w:r>
      <w:r>
        <w:rPr>
          <w:rFonts w:ascii="Times New Roman" w:eastAsia="宋体" w:hAnsi="Times New Roman" w:cs="Times New Roman"/>
          <w:sz w:val="20"/>
          <w:szCs w:val="20"/>
        </w:rPr>
        <w:t>capable:</w:t>
      </w:r>
    </w:p>
    <w:p w:rsidR="009A44D9" w:rsidRDefault="00010179" w:rsidP="00097080">
      <w:pPr>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To support this function, in NTN case, along the determination of its own status, the UE should be able to acquire the additional assist information from BS. Then, joint processing </w:t>
      </w:r>
      <w:r w:rsidR="007A7CBF">
        <w:rPr>
          <w:rFonts w:ascii="Times New Roman" w:eastAsia="宋体" w:hAnsi="Times New Roman" w:cs="Times New Roman"/>
          <w:sz w:val="20"/>
          <w:szCs w:val="20"/>
        </w:rPr>
        <w:t>is</w:t>
      </w:r>
      <w:r>
        <w:rPr>
          <w:rFonts w:ascii="Times New Roman" w:eastAsia="宋体" w:hAnsi="Times New Roman" w:cs="Times New Roman"/>
          <w:sz w:val="20"/>
          <w:szCs w:val="20"/>
        </w:rPr>
        <w:t xml:space="preserve"> expected at UE side to get the value for pre-compensation. From implementation perspective, such functionality at least require</w:t>
      </w:r>
      <w:r w:rsidR="00825DCF">
        <w:rPr>
          <w:rFonts w:ascii="Times New Roman" w:eastAsia="宋体" w:hAnsi="Times New Roman" w:cs="Times New Roman"/>
          <w:sz w:val="20"/>
          <w:szCs w:val="20"/>
        </w:rPr>
        <w:t>s frequent information exchange</w:t>
      </w:r>
      <w:r>
        <w:rPr>
          <w:rFonts w:ascii="Times New Roman" w:eastAsia="宋体" w:hAnsi="Times New Roman" w:cs="Times New Roman"/>
          <w:sz w:val="20"/>
          <w:szCs w:val="20"/>
        </w:rPr>
        <w:t xml:space="preserve"> between GNSS and baseband modules. Meanwhile, simultaneous reception of GNSS </w:t>
      </w:r>
      <w:r>
        <w:rPr>
          <w:rFonts w:ascii="Times New Roman" w:eastAsia="宋体" w:hAnsi="Times New Roman" w:cs="Times New Roman"/>
          <w:sz w:val="20"/>
          <w:szCs w:val="20"/>
        </w:rPr>
        <w:lastRenderedPageBreak/>
        <w:t>and NR signal is also preferred, which impose additional restriction on the application since in some scenarios, the GNSS signal may be expired or not available. The overall accuracy for such operation is also impacted by the computation capability at UE side and the information from BS.</w:t>
      </w:r>
      <w:r>
        <w:rPr>
          <w:rFonts w:ascii="Times New Roman" w:eastAsia="宋体" w:hAnsi="Times New Roman" w:cs="Times New Roman" w:hint="eastAsia"/>
          <w:sz w:val="20"/>
          <w:szCs w:val="20"/>
        </w:rPr>
        <w:t xml:space="preserve"> </w:t>
      </w:r>
    </w:p>
    <w:p w:rsidR="009A44D9" w:rsidRDefault="00010179" w:rsidP="00097080">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i/>
          <w:sz w:val="20"/>
          <w:szCs w:val="20"/>
        </w:rPr>
        <w:t>UE capability to support GNSS and pre-compensation should be defined separately.</w:t>
      </w:r>
    </w:p>
    <w:p w:rsidR="009A44D9" w:rsidRDefault="00010179" w:rsidP="00097080">
      <w:pPr>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During the discussion for frequency synchronization, different assumptions on the BS implementation are also proposed. As one important aspect, the pre-compensation on the common frequency offset for DL should be considered to avoid the potential enhancement of SSB. Moreover, in NTN case, since each beam </w:t>
      </w:r>
      <w:r w:rsidR="00825DCF">
        <w:rPr>
          <w:rFonts w:ascii="Times New Roman" w:eastAsia="宋体" w:hAnsi="Times New Roman" w:cs="Times New Roman"/>
          <w:sz w:val="20"/>
          <w:szCs w:val="20"/>
        </w:rPr>
        <w:t>can provide a</w:t>
      </w:r>
      <w:r>
        <w:rPr>
          <w:rFonts w:ascii="Times New Roman" w:eastAsia="宋体" w:hAnsi="Times New Roman" w:cs="Times New Roman"/>
          <w:sz w:val="20"/>
          <w:szCs w:val="20"/>
        </w:rPr>
        <w:t xml:space="preserve"> large coverage, such operation in beam-specific operation is required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_Ref47518974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Meanwhile, as reciprocal operation, post-compensation of the common frequency offset for UL at BS can also be considered to reduce the complexity at UE side. It should be noticed that all operation w.r.t the common frequency offset can be done via implementation (i.e., no specification impacts) without impacts on following-up scheduling/data transmission.</w:t>
      </w:r>
    </w:p>
    <w:p w:rsidR="009A44D9" w:rsidRDefault="00010179" w:rsidP="00097080">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i/>
          <w:sz w:val="20"/>
          <w:szCs w:val="20"/>
        </w:rPr>
        <w:t>Taking the implementation of pre-compensation and post-compensation on the common frequency offset at BS side for DL and UL, respectively, as baseline assumption.</w:t>
      </w:r>
    </w:p>
    <w:p w:rsidR="009A44D9" w:rsidRDefault="00010179" w:rsidP="00097080">
      <w:pPr>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W.r.t the time synchronization, i.e., the UL TA adjustment, both fully and partial compensation of the full TA are proposed. However,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_Ref47527914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full TA compensation should be supported to ensure the DL/UL frame boundary alignment at BS, which is same as existing NR. Otherwise, at the BS side, i.e., ground gateway for transparent load, should be able maintain the time-variant value to tracking the UL frame boundary with additional complexity. Moreover, in case of service conducted by HAPS in TDD manner, such assumption imposes additional restriction for the scheduling since the collision between DL and UL slots due to shift timing for UL data. </w:t>
      </w:r>
    </w:p>
    <w:p w:rsidR="009A44D9" w:rsidRDefault="00010179">
      <w:pPr>
        <w:pStyle w:val="BodyText"/>
        <w:keepNext/>
        <w:jc w:val="center"/>
      </w:pPr>
      <w:r>
        <w:rPr>
          <w:noProof/>
          <w:lang w:val="en-US" w:eastAsia="zh-CN"/>
        </w:rPr>
        <w:drawing>
          <wp:inline distT="0" distB="0" distL="0" distR="0">
            <wp:extent cx="4483100" cy="1268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93383" cy="1272125"/>
                    </a:xfrm>
                    <a:prstGeom prst="rect">
                      <a:avLst/>
                    </a:prstGeom>
                    <a:noFill/>
                    <a:ln>
                      <a:noFill/>
                    </a:ln>
                  </pic:spPr>
                </pic:pic>
              </a:graphicData>
            </a:graphic>
          </wp:inline>
        </w:drawing>
      </w:r>
    </w:p>
    <w:p w:rsidR="009A44D9" w:rsidRDefault="00010179">
      <w:pPr>
        <w:pStyle w:val="Caption"/>
        <w:rPr>
          <w:b w:val="0"/>
        </w:rPr>
      </w:pPr>
      <w:bookmarkStart w:id="5" w:name="_Ref47527914"/>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bookmarkEnd w:id="5"/>
      <w:r>
        <w:rPr>
          <w:b w:val="0"/>
        </w:rPr>
        <w:t xml:space="preserve"> </w:t>
      </w:r>
      <w:r>
        <w:rPr>
          <w:rFonts w:eastAsiaTheme="minorEastAsia"/>
          <w:b w:val="0"/>
          <w:bCs w:val="0"/>
          <w:kern w:val="0"/>
          <w:lang w:eastAsia="en-US"/>
        </w:rPr>
        <w:t>I</w:t>
      </w:r>
      <w:r>
        <w:rPr>
          <w:b w:val="0"/>
        </w:rPr>
        <w:t xml:space="preserve">llustration of full TA adjustment at UE to align the DL/UL frame boundary at BS </w:t>
      </w:r>
      <w:r>
        <w:rPr>
          <w:b w:val="0"/>
        </w:rPr>
        <w:fldChar w:fldCharType="begin"/>
      </w:r>
      <w:r>
        <w:rPr>
          <w:b w:val="0"/>
        </w:rPr>
        <w:instrText xml:space="preserve"> REF _Ref47518974 \r \h  \* MERGEFORMAT </w:instrText>
      </w:r>
      <w:r>
        <w:rPr>
          <w:b w:val="0"/>
        </w:rPr>
      </w:r>
      <w:r>
        <w:rPr>
          <w:b w:val="0"/>
        </w:rPr>
        <w:fldChar w:fldCharType="separate"/>
      </w:r>
      <w:r>
        <w:rPr>
          <w:b w:val="0"/>
        </w:rPr>
        <w:t>[2]</w:t>
      </w:r>
      <w:r>
        <w:rPr>
          <w:b w:val="0"/>
        </w:rPr>
        <w:fldChar w:fldCharType="end"/>
      </w:r>
      <w:r>
        <w:rPr>
          <w:b w:val="0"/>
        </w:rPr>
        <w:t xml:space="preserve">. </w:t>
      </w:r>
    </w:p>
    <w:p w:rsidR="009A44D9" w:rsidRDefault="00010179" w:rsidP="00097080">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i/>
          <w:sz w:val="20"/>
          <w:szCs w:val="20"/>
        </w:rPr>
        <w:t>Full TA compensation at UE side to ensure the DL/UL frame boundary alignment at BS side should be considered as the baseline assumption.</w:t>
      </w:r>
    </w:p>
    <w:p w:rsidR="009A44D9" w:rsidRDefault="00010179">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Mechanism for </w:t>
      </w:r>
      <w:r>
        <w:rPr>
          <w:rFonts w:eastAsia="黑体" w:cs="Times New Roman" w:hint="eastAsia"/>
          <w:b/>
          <w:bCs/>
          <w:sz w:val="28"/>
          <w:szCs w:val="30"/>
          <w:lang w:val="en-US"/>
        </w:rPr>
        <w:t>synchronization</w:t>
      </w:r>
    </w:p>
    <w:p w:rsidR="009A44D9" w:rsidRDefault="00010179">
      <w:pPr>
        <w:pStyle w:val="Heading2"/>
        <w:numPr>
          <w:ilvl w:val="1"/>
          <w:numId w:val="8"/>
        </w:numPr>
        <w:rPr>
          <w:rFonts w:ascii="Times New Roman" w:eastAsia="宋体" w:hAnsi="Times New Roman" w:cs="Times New Roman"/>
          <w:sz w:val="24"/>
          <w:szCs w:val="24"/>
        </w:rPr>
      </w:pPr>
      <w:r>
        <w:rPr>
          <w:rFonts w:ascii="Times New Roman" w:eastAsia="宋体" w:hAnsi="Times New Roman" w:cs="Times New Roman"/>
          <w:sz w:val="24"/>
          <w:szCs w:val="24"/>
          <w:lang w:val="en-US"/>
        </w:rPr>
        <w:t>For DL</w:t>
      </w:r>
      <w:r>
        <w:rPr>
          <w:rFonts w:ascii="Times New Roman" w:eastAsia="宋体" w:hAnsi="Times New Roman" w:cs="Times New Roman" w:hint="eastAsia"/>
          <w:sz w:val="24"/>
          <w:szCs w:val="24"/>
          <w:lang w:val="en-US"/>
        </w:rPr>
        <w:t xml:space="preserve"> synchronization</w:t>
      </w:r>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4"/>
          <w:szCs w:val="24"/>
        </w:rPr>
      </w:pPr>
      <w:r>
        <w:rPr>
          <w:rFonts w:ascii="Times New Roman" w:eastAsia="宋体" w:hAnsi="Times New Roman" w:cs="Times New Roman"/>
          <w:sz w:val="20"/>
          <w:szCs w:val="20"/>
        </w:rPr>
        <w:t xml:space="preserve">W.r.t the DL synchronization, the key issue is to ensure the accuracy for DL RS detection and tracking as discussed in SI. According to the assumption highlighted above, i.e., pre-compensation on the common frequency offset by BS (especially for LEO case) at beam-specific way, the existing reference signal design including SSB is sufficient to provide robust performance since the remaining frequency offset is comparable to the traditional terrestrial network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_Ref40176575 \r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the channel tracking part, within the each scheduling with limited time duration, e.g., up to 4 slots as configured by </w:t>
      </w:r>
      <w:proofErr w:type="spellStart"/>
      <w:r>
        <w:rPr>
          <w:rFonts w:ascii="Times New Roman" w:hAnsi="Times New Roman" w:cs="Times New Roman"/>
          <w:i/>
          <w:iCs/>
          <w:sz w:val="20"/>
          <w:szCs w:val="20"/>
        </w:rPr>
        <w:t>pdsch-AggregationFactor</w:t>
      </w:r>
      <w:proofErr w:type="spellEnd"/>
      <w:r>
        <w:rPr>
          <w:rFonts w:ascii="Times New Roman" w:hAnsi="Times New Roman" w:cs="Times New Roman"/>
          <w:iCs/>
          <w:sz w:val="20"/>
          <w:szCs w:val="20"/>
        </w:rPr>
        <w:t>, the variation due to the drift is negligible.</w:t>
      </w:r>
    </w:p>
    <w:p w:rsidR="009A44D9" w:rsidRDefault="00010179">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For UL synchronization</w:t>
      </w:r>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For the uplink transmission, in terrestrial network, the synchronization mainly refers to the TA adjustment to align both the UL frame boundary among UEs and DL/UL frame per UE at BS side. Such operation can be achieved by initial access procedure, e.g., relies on the configuration of different PRACH preamble format according to the scenarios, and MAC CE based timing advanced (TA) maintenance approach</w:t>
      </w:r>
      <w:r>
        <w:rPr>
          <w:rFonts w:ascii="Times New Roman" w:eastAsia="宋体" w:hAnsi="Times New Roman" w:cs="Times New Roman" w:hint="eastAsia"/>
          <w:sz w:val="20"/>
          <w:szCs w:val="20"/>
        </w:rPr>
        <w:t>.</w:t>
      </w:r>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NTN case, as illustrated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_Ref40185943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experienced frequency offset and required TA for adjustment is timing varying. For example, for the x-</w:t>
      </w:r>
      <w:proofErr w:type="spellStart"/>
      <w:r>
        <w:rPr>
          <w:rFonts w:ascii="Times New Roman" w:eastAsia="宋体" w:hAnsi="Times New Roman" w:cs="Times New Roman"/>
          <w:sz w:val="20"/>
          <w:szCs w:val="20"/>
        </w:rPr>
        <w:t>th</w:t>
      </w:r>
      <w:proofErr w:type="spellEnd"/>
      <w:r>
        <w:rPr>
          <w:rFonts w:ascii="Times New Roman" w:eastAsia="宋体" w:hAnsi="Times New Roman" w:cs="Times New Roman"/>
          <w:sz w:val="20"/>
          <w:szCs w:val="20"/>
        </w:rPr>
        <w:t xml:space="preserve"> UE, the required TA value is determined by the overall transmission distance including D</w:t>
      </w:r>
      <w:r>
        <w:rPr>
          <w:rFonts w:ascii="Times New Roman" w:eastAsia="宋体" w:hAnsi="Times New Roman" w:cs="Times New Roman"/>
          <w:sz w:val="20"/>
          <w:szCs w:val="20"/>
          <w:vertAlign w:val="subscript"/>
        </w:rPr>
        <w:t>1x</w:t>
      </w:r>
      <w:r>
        <w:rPr>
          <w:rFonts w:ascii="Times New Roman" w:eastAsia="宋体" w:hAnsi="Times New Roman" w:cs="Times New Roman"/>
          <w:sz w:val="20"/>
          <w:szCs w:val="20"/>
        </w:rPr>
        <w:t xml:space="preserve"> and D</w:t>
      </w:r>
      <w:r>
        <w:rPr>
          <w:rFonts w:ascii="Times New Roman" w:eastAsia="宋体" w:hAnsi="Times New Roman" w:cs="Times New Roman"/>
          <w:sz w:val="20"/>
          <w:szCs w:val="20"/>
          <w:vertAlign w:val="subscript"/>
        </w:rPr>
        <w:t>02</w:t>
      </w:r>
      <w:r>
        <w:rPr>
          <w:rFonts w:ascii="Times New Roman" w:eastAsia="宋体" w:hAnsi="Times New Roman" w:cs="Times New Roman"/>
          <w:sz w:val="20"/>
          <w:szCs w:val="20"/>
        </w:rPr>
        <w:t xml:space="preserve"> (which refers to the propagation distance of service and feeder link, respectively) at corresponding time instant.</w:t>
      </w:r>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For dealing with these impacts, two solutions with different UE assumption are discussed:</w:t>
      </w:r>
    </w:p>
    <w:p w:rsidR="009A44D9" w:rsidRDefault="00010179">
      <w:pPr>
        <w:pStyle w:val="ListParagraph"/>
        <w:numPr>
          <w:ilvl w:val="0"/>
          <w:numId w:val="5"/>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hAnsi="Times New Roman" w:cs="Times New Roman"/>
          <w:b/>
          <w:sz w:val="20"/>
          <w:szCs w:val="20"/>
        </w:rPr>
        <w:t>BS-dominated</w:t>
      </w:r>
      <w:r>
        <w:rPr>
          <w:rFonts w:ascii="Times New Roman" w:eastAsia="宋体" w:hAnsi="Times New Roman" w:cs="Times New Roman"/>
          <w:sz w:val="20"/>
          <w:szCs w:val="20"/>
        </w:rPr>
        <w:t xml:space="preserve"> mechanism: In this way, except for broadcasting of common TA per beam, </w:t>
      </w:r>
      <w:r w:rsidR="00695493">
        <w:rPr>
          <w:rFonts w:ascii="Times New Roman" w:eastAsia="宋体" w:hAnsi="Times New Roman" w:cs="Times New Roman"/>
          <w:sz w:val="20"/>
          <w:szCs w:val="20"/>
        </w:rPr>
        <w:t xml:space="preserve">due to the large frequency and timing offset within the coverage of one beam </w:t>
      </w:r>
      <w:r w:rsidR="00695493">
        <w:rPr>
          <w:rFonts w:ascii="Times New Roman" w:eastAsia="宋体" w:hAnsi="Times New Roman" w:cs="Times New Roman"/>
          <w:sz w:val="20"/>
          <w:szCs w:val="20"/>
        </w:rPr>
        <w:fldChar w:fldCharType="begin"/>
      </w:r>
      <w:r w:rsidR="00695493">
        <w:rPr>
          <w:rFonts w:ascii="Times New Roman" w:eastAsia="宋体" w:hAnsi="Times New Roman" w:cs="Times New Roman"/>
          <w:sz w:val="20"/>
          <w:szCs w:val="20"/>
        </w:rPr>
        <w:instrText xml:space="preserve"> REF _Ref47532571 \r \h </w:instrText>
      </w:r>
      <w:r w:rsidR="00695493">
        <w:rPr>
          <w:rFonts w:ascii="Times New Roman" w:eastAsia="宋体" w:hAnsi="Times New Roman" w:cs="Times New Roman"/>
          <w:sz w:val="20"/>
          <w:szCs w:val="20"/>
        </w:rPr>
      </w:r>
      <w:r w:rsidR="00695493">
        <w:rPr>
          <w:rFonts w:ascii="Times New Roman" w:eastAsia="宋体" w:hAnsi="Times New Roman" w:cs="Times New Roman"/>
          <w:sz w:val="20"/>
          <w:szCs w:val="20"/>
        </w:rPr>
        <w:fldChar w:fldCharType="separate"/>
      </w:r>
      <w:r w:rsidR="00695493">
        <w:rPr>
          <w:rFonts w:ascii="Times New Roman" w:eastAsia="宋体" w:hAnsi="Times New Roman" w:cs="Times New Roman"/>
          <w:sz w:val="20"/>
          <w:szCs w:val="20"/>
        </w:rPr>
        <w:t>[4]</w:t>
      </w:r>
      <w:r w:rsidR="00695493">
        <w:rPr>
          <w:rFonts w:ascii="Times New Roman" w:eastAsia="宋体" w:hAnsi="Times New Roman" w:cs="Times New Roman"/>
          <w:sz w:val="20"/>
          <w:szCs w:val="20"/>
        </w:rPr>
        <w:fldChar w:fldCharType="end"/>
      </w:r>
      <w:r w:rsidR="0069549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the enhancement on the existing PRACH preamble/format is still needed with improvements </w:t>
      </w:r>
      <w:r w:rsidR="001C25B2">
        <w:rPr>
          <w:rFonts w:ascii="Times New Roman" w:eastAsia="宋体" w:hAnsi="Times New Roman" w:cs="Times New Roman"/>
          <w:sz w:val="20"/>
          <w:szCs w:val="20"/>
        </w:rPr>
        <w:t xml:space="preserve">on the </w:t>
      </w:r>
      <w:r>
        <w:rPr>
          <w:rFonts w:ascii="Times New Roman" w:eastAsia="宋体" w:hAnsi="Times New Roman" w:cs="Times New Roman"/>
          <w:sz w:val="20"/>
          <w:szCs w:val="20"/>
        </w:rPr>
        <w:t xml:space="preserve">following-up procedure during initial access, e.g., extension of offset for Msg-3 scheduling. Moreover, w.r.t the link maintenance, the traditional TA adjustment mechanism with additional indication of the timing drift value to handle the timing variant phenomenon should also be considered.  </w:t>
      </w:r>
    </w:p>
    <w:p w:rsidR="009A44D9" w:rsidRDefault="00010179">
      <w:pPr>
        <w:pStyle w:val="ListParagraph"/>
        <w:numPr>
          <w:ilvl w:val="0"/>
          <w:numId w:val="5"/>
        </w:numPr>
        <w:spacing w:beforeLines="50" w:before="120" w:afterLines="50" w:after="120" w:line="240" w:lineRule="auto"/>
        <w:ind w:firstLineChars="0"/>
        <w:jc w:val="both"/>
        <w:rPr>
          <w:rFonts w:ascii="Times New Roman" w:hAnsi="Times New Roman" w:cs="Times New Roman"/>
          <w:sz w:val="20"/>
          <w:szCs w:val="20"/>
        </w:rPr>
      </w:pPr>
      <w:r>
        <w:rPr>
          <w:rFonts w:ascii="Times New Roman" w:hAnsi="Times New Roman" w:cs="Times New Roman"/>
          <w:b/>
          <w:sz w:val="20"/>
          <w:szCs w:val="20"/>
        </w:rPr>
        <w:t xml:space="preserve">UE-dominated </w:t>
      </w:r>
      <w:r>
        <w:rPr>
          <w:rFonts w:ascii="Times New Roman" w:hAnsi="Times New Roman" w:cs="Times New Roman"/>
          <w:sz w:val="20"/>
          <w:szCs w:val="20"/>
        </w:rPr>
        <w:t>mechanism:</w:t>
      </w:r>
      <w:r>
        <w:rPr>
          <w:rFonts w:ascii="Times New Roman" w:hAnsi="Times New Roman" w:cs="Times New Roman"/>
          <w:b/>
          <w:sz w:val="20"/>
          <w:szCs w:val="20"/>
        </w:rPr>
        <w:t xml:space="preserve"> </w:t>
      </w:r>
      <w:r>
        <w:rPr>
          <w:rFonts w:ascii="Times New Roman" w:hAnsi="Times New Roman" w:cs="Times New Roman"/>
          <w:sz w:val="20"/>
          <w:szCs w:val="20"/>
        </w:rPr>
        <w:t xml:space="preserve">In this way, with assumption on the UE capability for pre-compensation, the UE specific frequency and timing offset can be estimated at the UE side. Then, </w:t>
      </w:r>
      <w:r w:rsidR="00BB5218">
        <w:rPr>
          <w:rFonts w:ascii="Times New Roman" w:hAnsi="Times New Roman" w:cs="Times New Roman"/>
          <w:sz w:val="20"/>
          <w:szCs w:val="20"/>
        </w:rPr>
        <w:t xml:space="preserve">with the broadcasting of common TA, </w:t>
      </w:r>
      <w:r>
        <w:rPr>
          <w:rFonts w:ascii="Times New Roman" w:hAnsi="Times New Roman" w:cs="Times New Roman"/>
          <w:sz w:val="20"/>
          <w:szCs w:val="20"/>
        </w:rPr>
        <w:t>no further enhancement on the P</w:t>
      </w:r>
      <w:r w:rsidR="00BB5218">
        <w:rPr>
          <w:rFonts w:ascii="Times New Roman" w:hAnsi="Times New Roman" w:cs="Times New Roman"/>
          <w:sz w:val="20"/>
          <w:szCs w:val="20"/>
        </w:rPr>
        <w:t>RACH preamble/format are needed</w:t>
      </w:r>
      <w:r>
        <w:rPr>
          <w:rFonts w:ascii="Times New Roman" w:hAnsi="Times New Roman" w:cs="Times New Roman"/>
          <w:sz w:val="20"/>
          <w:szCs w:val="20"/>
        </w:rPr>
        <w:t xml:space="preserve">. And signaling from BS for link maintenance can also be saved if the precise pre-compensation is always available. </w:t>
      </w:r>
    </w:p>
    <w:p w:rsidR="009A44D9" w:rsidRDefault="00010179">
      <w:pPr>
        <w:pStyle w:val="ListParagraph"/>
        <w:spacing w:beforeLines="50" w:before="120" w:afterLines="50" w:after="120" w:line="240" w:lineRule="auto"/>
        <w:ind w:left="78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For achieving it, as mentioned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_Ref47537212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the status information of network and UE should be available at UE side for frequency and timing offset calculation, more specifically:</w:t>
      </w:r>
    </w:p>
    <w:p w:rsidR="009A44D9" w:rsidRDefault="00010179">
      <w:pPr>
        <w:pStyle w:val="ListParagraph"/>
        <w:numPr>
          <w:ilvl w:val="1"/>
          <w:numId w:val="5"/>
        </w:numPr>
        <w:spacing w:beforeLines="50" w:before="120" w:afterLines="50" w:after="120" w:line="240" w:lineRule="auto"/>
        <w:ind w:firstLineChars="0"/>
        <w:jc w:val="both"/>
        <w:rPr>
          <w:rFonts w:ascii="Times New Roman" w:hAnsi="Times New Roman" w:cs="Times New Roman"/>
          <w:sz w:val="20"/>
          <w:szCs w:val="20"/>
        </w:rPr>
      </w:pPr>
      <w:r>
        <w:rPr>
          <w:rFonts w:ascii="Times New Roman" w:hAnsi="Times New Roman" w:cs="Times New Roman"/>
          <w:sz w:val="20"/>
          <w:szCs w:val="20"/>
        </w:rPr>
        <w:t>Status information of network:</w:t>
      </w:r>
    </w:p>
    <w:p w:rsidR="009A44D9" w:rsidRDefault="00010179">
      <w:pPr>
        <w:pStyle w:val="ListParagraph"/>
        <w:spacing w:beforeLines="50" w:before="120" w:afterLines="50" w:after="120" w:line="240" w:lineRule="auto"/>
        <w:ind w:leftChars="591" w:left="130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one alternative, information on location, mobility situation of network with certain confidence level are needed to enable the calculation on the </w:t>
      </w:r>
      <w:r>
        <w:rPr>
          <w:rFonts w:ascii="Times New Roman" w:eastAsia="宋体" w:hAnsi="Times New Roman" w:cs="Times New Roman"/>
          <w:b/>
          <w:sz w:val="20"/>
          <w:szCs w:val="20"/>
        </w:rPr>
        <w:t>UE-specific</w:t>
      </w:r>
      <w:r>
        <w:rPr>
          <w:rFonts w:ascii="Times New Roman" w:eastAsia="宋体" w:hAnsi="Times New Roman" w:cs="Times New Roman"/>
          <w:sz w:val="20"/>
          <w:szCs w:val="20"/>
        </w:rPr>
        <w:t xml:space="preserve"> value at UE side along with its own location. The detailed content and format is up to the selection of reference point, e.g., satellite ephemeris once the reference point-1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_Ref40185943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or trajectory information in case that reference point-2 is assumed. Meanwhile, indication mechanism of this information should be available to follow the change of corresponding value due to the mobility of satellite or HAPS. In this way, indication of the remaining </w:t>
      </w:r>
      <w:r>
        <w:rPr>
          <w:rFonts w:ascii="Times New Roman" w:hAnsi="Times New Roman" w:cs="Times New Roman"/>
          <w:b/>
          <w:sz w:val="20"/>
          <w:szCs w:val="20"/>
        </w:rPr>
        <w:t xml:space="preserve">Common </w:t>
      </w:r>
      <w:r>
        <w:rPr>
          <w:rFonts w:ascii="Times New Roman" w:eastAsia="宋体" w:hAnsi="Times New Roman" w:cs="Times New Roman"/>
          <w:sz w:val="20"/>
          <w:szCs w:val="20"/>
        </w:rPr>
        <w:t xml:space="preserve">part, e.g., common TA, is also needed to handle the impact originated form the link </w:t>
      </w:r>
      <w:r>
        <w:rPr>
          <w:rFonts w:ascii="Times New Roman" w:hAnsi="Times New Roman" w:cs="Times New Roman"/>
          <w:sz w:val="20"/>
          <w:szCs w:val="20"/>
        </w:rPr>
        <w:t>between BS and reference point.</w:t>
      </w:r>
    </w:p>
    <w:p w:rsidR="009A44D9" w:rsidRDefault="00010179">
      <w:pPr>
        <w:pStyle w:val="ListParagraph"/>
        <w:spacing w:beforeLines="50" w:before="120" w:afterLines="50" w:after="120" w:line="240" w:lineRule="auto"/>
        <w:ind w:leftChars="591" w:left="130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As another alternative, indication of other information, i.e., tim</w:t>
      </w:r>
      <w:r>
        <w:rPr>
          <w:rFonts w:ascii="Times New Roman" w:eastAsia="宋体" w:hAnsi="Times New Roman" w:cs="Times New Roman" w:hint="eastAsia"/>
          <w:sz w:val="20"/>
          <w:szCs w:val="20"/>
        </w:rPr>
        <w:t>e</w:t>
      </w:r>
      <w:r>
        <w:rPr>
          <w:rFonts w:ascii="Times New Roman" w:eastAsia="宋体" w:hAnsi="Times New Roman" w:cs="Times New Roman"/>
          <w:sz w:val="20"/>
          <w:szCs w:val="20"/>
        </w:rPr>
        <w:t xml:space="preserve"> stamp</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(from reference point 0 where the DL data is transmitted) can also be considered. I</w:t>
      </w:r>
      <w:r>
        <w:rPr>
          <w:rFonts w:ascii="Times New Roman" w:eastAsia="宋体" w:hAnsi="Times New Roman" w:cs="Times New Roman" w:hint="eastAsia"/>
          <w:sz w:val="20"/>
          <w:szCs w:val="20"/>
        </w:rPr>
        <w:t xml:space="preserve">n </w:t>
      </w:r>
      <w:r>
        <w:rPr>
          <w:rFonts w:ascii="Times New Roman" w:eastAsia="宋体" w:hAnsi="Times New Roman" w:cs="Times New Roman"/>
          <w:sz w:val="20"/>
          <w:szCs w:val="20"/>
        </w:rPr>
        <w:t>this way,</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 acquisition of TA</w:t>
      </w:r>
      <w:r>
        <w:rPr>
          <w:rFonts w:ascii="Times New Roman" w:eastAsia="宋体" w:hAnsi="Times New Roman" w:cs="Times New Roman" w:hint="eastAsia"/>
          <w:sz w:val="20"/>
          <w:szCs w:val="20"/>
        </w:rPr>
        <w:t xml:space="preserve"> and </w:t>
      </w:r>
      <w:r>
        <w:rPr>
          <w:rFonts w:ascii="Times New Roman" w:eastAsia="宋体" w:hAnsi="Times New Roman" w:cs="Times New Roman"/>
          <w:sz w:val="20"/>
          <w:szCs w:val="20"/>
        </w:rPr>
        <w:t>frequency value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(as the combination of </w:t>
      </w:r>
      <w:r>
        <w:rPr>
          <w:rFonts w:ascii="Times New Roman" w:hAnsi="Times New Roman" w:cs="Times New Roman"/>
          <w:b/>
          <w:sz w:val="20"/>
          <w:szCs w:val="20"/>
        </w:rPr>
        <w:t>UE-specific</w:t>
      </w:r>
      <w:r>
        <w:rPr>
          <w:rFonts w:ascii="Times New Roman" w:hAnsi="Times New Roman" w:cs="Times New Roman"/>
          <w:sz w:val="20"/>
          <w:szCs w:val="20"/>
        </w:rPr>
        <w:t xml:space="preserve"> and </w:t>
      </w:r>
      <w:r>
        <w:rPr>
          <w:rFonts w:ascii="Times New Roman" w:hAnsi="Times New Roman" w:cs="Times New Roman"/>
          <w:b/>
          <w:sz w:val="20"/>
          <w:szCs w:val="20"/>
        </w:rPr>
        <w:t>Common</w:t>
      </w:r>
      <w:r>
        <w:rPr>
          <w:rFonts w:ascii="Times New Roman" w:eastAsia="宋体" w:hAnsi="Times New Roman" w:cs="Times New Roman"/>
          <w:sz w:val="20"/>
          <w:szCs w:val="20"/>
        </w:rPr>
        <w:t>) can be enabled via calculation at UE side based on absolute propagation time</w:t>
      </w:r>
      <w:r>
        <w:rPr>
          <w:rFonts w:ascii="Times New Roman" w:eastAsia="宋体" w:hAnsi="Times New Roman" w:cs="Times New Roman" w:hint="eastAsia"/>
          <w:sz w:val="20"/>
          <w:szCs w:val="20"/>
        </w:rPr>
        <w:t xml:space="preserve"> and its variation rate</w:t>
      </w:r>
      <w:r>
        <w:rPr>
          <w:rFonts w:ascii="Times New Roman" w:eastAsia="宋体" w:hAnsi="Times New Roman" w:cs="Times New Roman"/>
          <w:sz w:val="20"/>
          <w:szCs w:val="20"/>
        </w:rPr>
        <w:t>. But the ideal synchronization of clock between BS and UE should be always assumed since the requirement for TA adjustment is tight, especially in higher frequency with larger SCS. Moreover, the time stamp information should be sent periodically or before each UL scheduling to handle the variation due to the mobility of satellite or HAPS.</w:t>
      </w:r>
    </w:p>
    <w:p w:rsidR="009A44D9" w:rsidRDefault="00010179">
      <w:pPr>
        <w:pStyle w:val="ListParagraph"/>
        <w:numPr>
          <w:ilvl w:val="1"/>
          <w:numId w:val="5"/>
        </w:numPr>
        <w:spacing w:beforeLines="50" w:before="120" w:afterLines="50" w:after="120" w:line="240" w:lineRule="auto"/>
        <w:ind w:firstLineChars="0"/>
        <w:jc w:val="both"/>
        <w:rPr>
          <w:rFonts w:ascii="Times New Roman" w:hAnsi="Times New Roman" w:cs="Times New Roman"/>
          <w:sz w:val="20"/>
          <w:szCs w:val="20"/>
        </w:rPr>
      </w:pPr>
      <w:r>
        <w:rPr>
          <w:rFonts w:ascii="Times New Roman" w:hAnsi="Times New Roman" w:cs="Times New Roman"/>
          <w:sz w:val="20"/>
          <w:szCs w:val="20"/>
        </w:rPr>
        <w:t>Status information of UE:</w:t>
      </w:r>
    </w:p>
    <w:p w:rsidR="009A44D9" w:rsidRDefault="00010179">
      <w:pPr>
        <w:pStyle w:val="ListParagraph"/>
        <w:spacing w:beforeLines="50" w:before="120" w:afterLines="50" w:after="120" w:line="240" w:lineRule="auto"/>
        <w:ind w:leftChars="591" w:left="130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r.t the information of UE, its own location/mobility and internal-clock/</w:t>
      </w:r>
      <w:r>
        <w:rPr>
          <w:rFonts w:ascii="Times New Roman" w:eastAsia="宋体" w:hAnsi="Times New Roman" w:cs="Times New Roman" w:hint="eastAsia"/>
          <w:sz w:val="20"/>
          <w:szCs w:val="20"/>
        </w:rPr>
        <w:t>oscillator</w:t>
      </w:r>
      <w:r>
        <w:rPr>
          <w:rFonts w:ascii="Times New Roman" w:eastAsia="宋体" w:hAnsi="Times New Roman" w:cs="Times New Roman"/>
          <w:sz w:val="20"/>
          <w:szCs w:val="20"/>
        </w:rPr>
        <w:t xml:space="preserve"> status should be also available for corresponding calculation. Collection of such information is mainly up to UE implementation.</w:t>
      </w:r>
    </w:p>
    <w:p w:rsidR="009A44D9" w:rsidRDefault="00010179">
      <w:pPr>
        <w:pStyle w:val="ListParagraph"/>
        <w:spacing w:beforeLines="50" w:before="120" w:afterLines="50" w:after="120" w:line="240" w:lineRule="auto"/>
        <w:ind w:left="78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Additional, since the adjustment of TA value has impacts on the scheduling behavior at BS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_Ref47535608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 xml:space="preserve">, in case of usage of pre-compensation, reporting of the self-calculated value is also needed via either </w:t>
      </w:r>
      <w:proofErr w:type="spellStart"/>
      <w:r>
        <w:rPr>
          <w:rFonts w:ascii="Times New Roman" w:hAnsi="Times New Roman" w:cs="Times New Roman"/>
          <w:sz w:val="20"/>
          <w:szCs w:val="20"/>
        </w:rPr>
        <w:t>Msg</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in 2-step RACH procedure or PUSCH.</w:t>
      </w:r>
    </w:p>
    <w:p w:rsidR="009A44D9" w:rsidRDefault="00010179">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宋体" w:hAnsi="Times New Roman"/>
          <w:i/>
          <w:sz w:val="20"/>
          <w:szCs w:val="20"/>
        </w:rPr>
        <w:t xml:space="preserve">For UL synchronization, both BS-dominated and UE-dominated mechanism can be considered. </w:t>
      </w:r>
    </w:p>
    <w:p w:rsidR="009A44D9" w:rsidRDefault="00010179">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Accuracy for pre-compensation</w:t>
      </w:r>
    </w:p>
    <w:p w:rsidR="009A44D9" w:rsidRDefault="00010179">
      <w:pPr>
        <w:pStyle w:val="ListParagraph"/>
        <w:spacing w:beforeLines="50" w:before="120" w:afterLines="50" w:after="120" w:line="240" w:lineRule="auto"/>
        <w:ind w:leftChars="200" w:left="440" w:firstLineChars="0" w:firstLine="0"/>
        <w:jc w:val="both"/>
        <w:rPr>
          <w:rFonts w:ascii="Times New Roman" w:hAnsi="Times New Roman" w:cs="Times New Roman"/>
          <w:sz w:val="20"/>
          <w:szCs w:val="20"/>
        </w:rPr>
      </w:pPr>
      <w:r>
        <w:rPr>
          <w:rFonts w:ascii="Times New Roman" w:eastAsia="宋体" w:hAnsi="Times New Roman" w:cs="Times New Roman"/>
          <w:sz w:val="20"/>
          <w:szCs w:val="20"/>
        </w:rPr>
        <w:t xml:space="preserve">During the SI phase, the accuracy for the pre-compensation operation (i.e., corresponding to the UE-dominated solution above) at UE side to enable the UL synchronization is questioned. In general, performance is mainly impacted by following </w:t>
      </w:r>
      <w:r>
        <w:rPr>
          <w:rFonts w:ascii="Times New Roman" w:hAnsi="Times New Roman" w:cs="Times New Roman"/>
          <w:sz w:val="20"/>
          <w:szCs w:val="20"/>
        </w:rPr>
        <w:t>factors:</w:t>
      </w:r>
    </w:p>
    <w:p w:rsidR="009A44D9" w:rsidRDefault="00010179">
      <w:pPr>
        <w:pStyle w:val="ListParagraph"/>
        <w:numPr>
          <w:ilvl w:val="1"/>
          <w:numId w:val="9"/>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Location error </w:t>
      </w:r>
      <w:r>
        <w:rPr>
          <w:rFonts w:ascii="Times New Roman" w:eastAsia="宋体" w:hAnsi="Times New Roman" w:cs="Times New Roman"/>
          <w:sz w:val="20"/>
          <w:szCs w:val="20"/>
        </w:rPr>
        <w:t xml:space="preserve">of </w:t>
      </w:r>
      <w:r>
        <w:rPr>
          <w:rFonts w:ascii="Times New Roman" w:eastAsia="宋体" w:hAnsi="Times New Roman" w:cs="Times New Roman" w:hint="eastAsia"/>
          <w:sz w:val="20"/>
          <w:szCs w:val="20"/>
        </w:rPr>
        <w:t>UE</w:t>
      </w:r>
      <w:r>
        <w:rPr>
          <w:rFonts w:ascii="Times New Roman" w:eastAsia="宋体" w:hAnsi="Times New Roman" w:cs="Times New Roman"/>
          <w:sz w:val="20"/>
          <w:szCs w:val="20"/>
        </w:rPr>
        <w:t>:</w:t>
      </w:r>
    </w:p>
    <w:p w:rsidR="009A44D9" w:rsidRDefault="0001017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The accuracy location information for UE is mainly determined by the performance of GNSS. For example, in case of poor GNSS signal, the deviation of obtained UE location may vary within a large range.</w:t>
      </w:r>
      <w:r>
        <w:rPr>
          <w:rFonts w:ascii="Times New Roman" w:eastAsia="宋体" w:hAnsi="Times New Roman" w:cs="Times New Roman" w:hint="eastAsia"/>
          <w:sz w:val="20"/>
          <w:szCs w:val="20"/>
        </w:rPr>
        <w:t xml:space="preserve"> </w:t>
      </w:r>
    </w:p>
    <w:p w:rsidR="009A44D9" w:rsidRDefault="00010179">
      <w:pPr>
        <w:pStyle w:val="ListParagraph"/>
        <w:numPr>
          <w:ilvl w:val="1"/>
          <w:numId w:val="9"/>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Location error </w:t>
      </w:r>
      <w:r>
        <w:rPr>
          <w:rFonts w:ascii="Times New Roman" w:eastAsia="宋体" w:hAnsi="Times New Roman" w:cs="Times New Roman"/>
          <w:sz w:val="20"/>
          <w:szCs w:val="20"/>
        </w:rPr>
        <w:t xml:space="preserve">of </w:t>
      </w:r>
      <w:r>
        <w:rPr>
          <w:rFonts w:ascii="Times New Roman" w:eastAsia="宋体" w:hAnsi="Times New Roman" w:cs="Times New Roman" w:hint="eastAsia"/>
          <w:sz w:val="20"/>
          <w:szCs w:val="20"/>
        </w:rPr>
        <w:t>satellite/HAPS</w:t>
      </w:r>
      <w:r>
        <w:rPr>
          <w:rFonts w:ascii="Times New Roman" w:eastAsia="宋体" w:hAnsi="Times New Roman" w:cs="Times New Roman"/>
          <w:sz w:val="20"/>
          <w:szCs w:val="20"/>
        </w:rPr>
        <w:t>:</w:t>
      </w:r>
    </w:p>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inaccuracy of satellite/HAPS’s information is mainly determined by the granularity for trajectory modelling as well as the un-predictable </w:t>
      </w:r>
      <w:r>
        <w:rPr>
          <w:rFonts w:ascii="Times New Roman" w:eastAsia="宋体" w:hAnsi="Times New Roman" w:cs="Times New Roman" w:hint="eastAsia"/>
          <w:sz w:val="20"/>
          <w:szCs w:val="20"/>
        </w:rPr>
        <w:t xml:space="preserve">disturbance. For example, the satellite may deviate from predicted orbit due to perturbation. Moreover, the position of HAPS could be affected by atmospheric motion. </w:t>
      </w:r>
    </w:p>
    <w:p w:rsidR="009A44D9" w:rsidRDefault="00010179">
      <w:pPr>
        <w:pStyle w:val="ListParagraph"/>
        <w:numPr>
          <w:ilvl w:val="1"/>
          <w:numId w:val="9"/>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Clock error between</w:t>
      </w:r>
      <w:r>
        <w:rPr>
          <w:rFonts w:ascii="Times New Roman" w:eastAsia="宋体" w:hAnsi="Times New Roman" w:cs="Times New Roman"/>
          <w:sz w:val="20"/>
          <w:szCs w:val="20"/>
        </w:rPr>
        <w:t xml:space="preserve"> BS</w:t>
      </w:r>
      <w:r>
        <w:rPr>
          <w:rFonts w:ascii="Times New Roman" w:eastAsia="宋体" w:hAnsi="Times New Roman" w:cs="Times New Roman" w:hint="eastAsia"/>
          <w:sz w:val="20"/>
          <w:szCs w:val="20"/>
        </w:rPr>
        <w:t xml:space="preserve"> and UE (for time stamp information case)</w:t>
      </w:r>
      <w:r>
        <w:rPr>
          <w:rFonts w:ascii="Times New Roman" w:eastAsia="宋体" w:hAnsi="Times New Roman" w:cs="Times New Roman"/>
          <w:sz w:val="20"/>
          <w:szCs w:val="20"/>
        </w:rPr>
        <w:t>:</w:t>
      </w:r>
    </w:p>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Such mismatch between </w:t>
      </w:r>
      <w:r>
        <w:rPr>
          <w:rFonts w:ascii="Times New Roman" w:eastAsia="宋体" w:hAnsi="Times New Roman" w:cs="Times New Roman" w:hint="eastAsia"/>
          <w:sz w:val="20"/>
          <w:szCs w:val="20"/>
        </w:rPr>
        <w:t>BS and UE</w:t>
      </w:r>
      <w:r>
        <w:rPr>
          <w:rFonts w:ascii="Times New Roman" w:eastAsia="宋体" w:hAnsi="Times New Roman" w:cs="Times New Roman"/>
          <w:sz w:val="20"/>
          <w:szCs w:val="20"/>
        </w:rPr>
        <w:t xml:space="preserve"> is mainly up to the mechanism for clock synchronization as well as the stability of clock, especially at UE side. Moreover, accuracy for the timing indication is also critical for TA and frequency offset calculation</w:t>
      </w:r>
      <w:r>
        <w:rPr>
          <w:rFonts w:ascii="Times New Roman" w:eastAsia="宋体" w:hAnsi="Times New Roman" w:cs="Times New Roman" w:hint="eastAsia"/>
          <w:sz w:val="20"/>
          <w:szCs w:val="20"/>
        </w:rPr>
        <w:t>.</w:t>
      </w:r>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this section, by assuming certain tolerance on </w:t>
      </w:r>
      <w:proofErr w:type="spellStart"/>
      <w:r>
        <w:rPr>
          <w:rFonts w:ascii="Times New Roman" w:eastAsia="宋体" w:hAnsi="Times New Roman" w:cs="Times New Roman"/>
          <w:sz w:val="20"/>
          <w:szCs w:val="20"/>
        </w:rPr>
        <w:t>asynchronziation</w:t>
      </w:r>
      <w:proofErr w:type="spellEnd"/>
      <w:r>
        <w:rPr>
          <w:rFonts w:ascii="Times New Roman" w:eastAsia="宋体" w:hAnsi="Times New Roman" w:cs="Times New Roman"/>
          <w:sz w:val="20"/>
          <w:szCs w:val="20"/>
        </w:rPr>
        <w:t xml:space="preserve"> of existing system, detailed analysis are conducted to justify whether the calculation according to location information is robust as the example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_Ref47541325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9A44D9" w:rsidRDefault="00010179">
      <w:pPr>
        <w:keepNext/>
        <w:jc w:val="center"/>
      </w:pPr>
      <w:r>
        <w:object w:dxaOrig="3390" w:dyaOrig="3578" w14:anchorId="6DD68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79.1pt" o:ole="">
            <v:imagedata r:id="rId9" o:title=""/>
            <o:lock v:ext="edit" aspectratio="f"/>
          </v:shape>
          <o:OLEObject Type="Embed" ProgID="Visio.Drawing.11" ShapeID="_x0000_i1025" DrawAspect="Content" ObjectID="_1658319048" r:id="rId10"/>
        </w:object>
      </w:r>
      <w:r>
        <w:object w:dxaOrig="3334" w:dyaOrig="3689" w14:anchorId="3E201E4A">
          <v:shape id="_x0000_i1026" type="#_x0000_t75" style="width:166.8pt;height:184.55pt" o:ole="">
            <v:imagedata r:id="rId11" o:title=""/>
            <o:lock v:ext="edit" aspectratio="f"/>
          </v:shape>
          <o:OLEObject Type="Embed" ProgID="Visio.Drawing.11" ShapeID="_x0000_i1026" DrawAspect="Content" ObjectID="_1658319049" r:id="rId12"/>
        </w:object>
      </w:r>
    </w:p>
    <w:p w:rsidR="009A44D9" w:rsidRDefault="00010179">
      <w:pPr>
        <w:pStyle w:val="Caption"/>
      </w:pPr>
      <w:bookmarkStart w:id="6" w:name="_Ref47541325"/>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6"/>
      <w:r>
        <w:rPr>
          <w:b w:val="0"/>
        </w:rPr>
        <w:t xml:space="preserve"> illustration on calculation </w:t>
      </w:r>
      <w:r>
        <w:rPr>
          <w:b w:val="0"/>
          <w:lang w:val="en-US"/>
        </w:rPr>
        <w:t xml:space="preserve">introduced by the </w:t>
      </w:r>
      <w:r>
        <w:rPr>
          <w:b w:val="0"/>
        </w:rPr>
        <w:t xml:space="preserve">inaccurate </w:t>
      </w:r>
      <w:r>
        <w:rPr>
          <w:b w:val="0"/>
          <w:lang w:val="en-US"/>
        </w:rPr>
        <w:t>UE and BS location</w:t>
      </w:r>
    </w:p>
    <w:p w:rsidR="009A44D9" w:rsidRDefault="00010179">
      <w:pPr>
        <w:pStyle w:val="ListParagraph"/>
        <w:numPr>
          <w:ilvl w:val="0"/>
          <w:numId w:val="10"/>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Tolerable range of error for pre-compensation:</w:t>
      </w:r>
    </w:p>
    <w:p w:rsidR="009A44D9" w:rsidRDefault="00010179">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consideration on the data processing, the tolerance range of the error for </w:t>
      </w:r>
      <w:r>
        <w:rPr>
          <w:rFonts w:ascii="Times New Roman" w:hAnsi="Times New Roman" w:cs="Times New Roman"/>
          <w:sz w:val="20"/>
          <w:szCs w:val="20"/>
        </w:rPr>
        <w:t xml:space="preserve">pre-compensation is considered from both time and frequency domain. More specifically, the maximal tolerable error TA and Doppler error can be assumed as </w:t>
      </w:r>
      <w:r>
        <w:rPr>
          <w:rFonts w:hint="eastAsia"/>
          <w:position w:val="-12"/>
        </w:rPr>
        <w:object w:dxaOrig="1418" w:dyaOrig="366" w14:anchorId="5F12592F">
          <v:shape id="_x0000_i1027" type="#_x0000_t75" style="width:71.1pt;height:18.25pt" o:ole="">
            <v:imagedata r:id="rId13" o:title=""/>
          </v:shape>
          <o:OLEObject Type="Embed" ProgID="Equation.KSEE3" ShapeID="_x0000_i1027" DrawAspect="Content" ObjectID="_1658319050" r:id="rId14"/>
        </w:object>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w:r>
        <w:rPr>
          <w:rFonts w:hint="eastAsia"/>
          <w:position w:val="-12"/>
        </w:rPr>
        <w:object w:dxaOrig="1418" w:dyaOrig="366" w14:anchorId="6D52D278">
          <v:shape id="_x0000_i1028" type="#_x0000_t75" style="width:71.1pt;height:18.25pt" o:ole="">
            <v:imagedata r:id="rId15" o:title=""/>
          </v:shape>
          <o:OLEObject Type="Embed" ProgID="Equation.KSEE3" ShapeID="_x0000_i1028" DrawAspect="Content" ObjectID="_1658319051" r:id="rId16"/>
        </w:object>
      </w:r>
      <w:r>
        <w:rPr>
          <w:rFonts w:ascii="Times New Roman" w:hAnsi="Times New Roman" w:cs="Times New Roman"/>
          <w:sz w:val="20"/>
          <w:szCs w:val="20"/>
        </w:rPr>
        <w:t>, respectively, where</w:t>
      </w:r>
      <w:r>
        <w:rPr>
          <w:rFonts w:ascii="Times New Roman" w:eastAsia="宋体" w:hAnsi="Times New Roman" w:cs="Times New Roman"/>
          <w:sz w:val="20"/>
          <w:szCs w:val="20"/>
        </w:rPr>
        <w:t xml:space="preserve"> </w:t>
      </w:r>
      <w:r>
        <w:rPr>
          <w:position w:val="-12"/>
        </w:rPr>
        <w:object w:dxaOrig="366" w:dyaOrig="388" w14:anchorId="132625E4">
          <v:shape id="_x0000_i1029" type="#_x0000_t75" style="width:18.25pt;height:19.6pt" o:ole="">
            <v:imagedata r:id="rId17" o:title=""/>
          </v:shape>
          <o:OLEObject Type="Embed" ProgID="Equation.3" ShapeID="_x0000_i1029" DrawAspect="Content" ObjectID="_1658319052" r:id="rId18"/>
        </w:object>
      </w:r>
      <w:r>
        <w:rPr>
          <w:rFonts w:ascii="Times New Roman" w:eastAsia="宋体" w:hAnsi="Times New Roman" w:cs="Times New Roman"/>
          <w:sz w:val="20"/>
          <w:szCs w:val="20"/>
        </w:rPr>
        <w:t xml:space="preserve"> is CP length, </w:t>
      </w:r>
      <w:r>
        <w:rPr>
          <w:position w:val="-12"/>
        </w:rPr>
        <w:object w:dxaOrig="465" w:dyaOrig="388" w14:anchorId="18FBE532">
          <v:shape id="_x0000_i1030" type="#_x0000_t75" style="width:23.25pt;height:19.6pt" o:ole="">
            <v:imagedata r:id="rId19" o:title=""/>
          </v:shape>
          <o:OLEObject Type="Embed" ProgID="Equation.3" ShapeID="_x0000_i1030" DrawAspect="Content" ObjectID="_1658319053" r:id="rId20"/>
        </w:object>
      </w:r>
      <w:r>
        <w:rPr>
          <w:rFonts w:ascii="Times New Roman" w:eastAsia="宋体" w:hAnsi="Times New Roman" w:cs="Times New Roman"/>
          <w:sz w:val="20"/>
          <w:szCs w:val="20"/>
        </w:rPr>
        <w:t xml:space="preserve"> is SCS, and </w:t>
      </w:r>
      <w:r>
        <w:rPr>
          <w:position w:val="-6"/>
        </w:rPr>
        <w:object w:dxaOrig="255" w:dyaOrig="244" w14:anchorId="02F5DF41">
          <v:shape id="_x0000_i1031" type="#_x0000_t75" style="width:12.75pt;height:11.85pt" o:ole="">
            <v:imagedata r:id="rId21" o:title=""/>
          </v:shape>
          <o:OLEObject Type="Embed" ProgID="Equation.3" ShapeID="_x0000_i1031" DrawAspect="Content" ObjectID="_1658319054" r:id="rId22"/>
        </w:object>
      </w:r>
      <w:r>
        <w:rPr>
          <w:rFonts w:ascii="Times New Roman" w:eastAsia="宋体" w:hAnsi="Times New Roman" w:cs="Times New Roman"/>
          <w:sz w:val="20"/>
          <w:szCs w:val="20"/>
        </w:rPr>
        <w:t xml:space="preserve"> is a constant coefficient and equating to the 0.1 in this contribution.</w:t>
      </w:r>
    </w:p>
    <w:p w:rsidR="009A44D9" w:rsidRDefault="00010179">
      <w:pPr>
        <w:pStyle w:val="ListParagraph"/>
        <w:numPr>
          <w:ilvl w:val="1"/>
          <w:numId w:val="9"/>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Mapping to the location error:</w:t>
      </w:r>
    </w:p>
    <w:p w:rsidR="009A44D9" w:rsidRDefault="00010179">
      <w:pPr>
        <w:pStyle w:val="ListParagraph"/>
        <w:numPr>
          <w:ilvl w:val="9"/>
          <w:numId w:val="0"/>
        </w:num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case of LoS assumption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_Ref47541325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tolerable error for synchronization can be easily mapped to the location errors as the synthetic results from both </w:t>
      </w:r>
      <w:r>
        <w:rPr>
          <w:rFonts w:ascii="Times New Roman" w:eastAsia="宋体" w:hAnsi="Times New Roman" w:cs="Times New Roman" w:hint="eastAsia"/>
          <w:sz w:val="20"/>
          <w:szCs w:val="20"/>
        </w:rPr>
        <w:t>UE and satellite/HAPS</w:t>
      </w:r>
      <w:r>
        <w:rPr>
          <w:rFonts w:ascii="Times New Roman" w:eastAsia="宋体" w:hAnsi="Times New Roman" w:cs="Times New Roman"/>
          <w:sz w:val="20"/>
          <w:szCs w:val="20"/>
        </w:rPr>
        <w:t xml:space="preserve"> side. The existing </w:t>
      </w:r>
      <w:r>
        <w:rPr>
          <w:rFonts w:ascii="Times New Roman" w:eastAsia="宋体" w:hAnsi="Times New Roman" w:cs="Times New Roman" w:hint="eastAsia"/>
          <w:sz w:val="20"/>
          <w:szCs w:val="20"/>
        </w:rPr>
        <w:t xml:space="preserve">PRACH format </w:t>
      </w:r>
      <w:r w:rsidR="009D7A28">
        <w:rPr>
          <w:rFonts w:ascii="Times New Roman" w:eastAsia="宋体" w:hAnsi="Times New Roman" w:cs="Times New Roman"/>
          <w:sz w:val="20"/>
          <w:szCs w:val="20"/>
        </w:rPr>
        <w:t xml:space="preserve">and PUSCH configuration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_Ref47542483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is considered as typical baseline for analysis. </w:t>
      </w:r>
    </w:p>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fixed location error and elevation angle, the length difference of the real path and obtained path increases while the angle difference reduces. As a result, the tolerable location error w.r.t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 xml:space="preserve">calculation error reduces with larger SCS and lower elevation angle, while the tolerable location error w.r.t </w:t>
      </w:r>
      <w:r>
        <w:rPr>
          <w:rFonts w:ascii="Times New Roman" w:eastAsia="宋体" w:hAnsi="Times New Roman" w:cs="Times New Roman" w:hint="eastAsia"/>
          <w:sz w:val="20"/>
          <w:szCs w:val="20"/>
        </w:rPr>
        <w:t xml:space="preserve">Doppler </w:t>
      </w:r>
      <w:r>
        <w:rPr>
          <w:rFonts w:ascii="Times New Roman" w:eastAsia="宋体" w:hAnsi="Times New Roman" w:cs="Times New Roman"/>
          <w:sz w:val="20"/>
          <w:szCs w:val="20"/>
        </w:rPr>
        <w:t xml:space="preserve">calculation error reduces with smaller SCS and higher elevation angle. Hence, only the extreme values of tolerable location error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evaluated for each format. </w:t>
      </w:r>
      <w:r>
        <w:rPr>
          <w:rFonts w:ascii="Times New Roman" w:eastAsia="宋体" w:hAnsi="Times New Roman" w:cs="Times New Roman" w:hint="eastAsia"/>
          <w:sz w:val="20"/>
          <w:szCs w:val="20"/>
        </w:rPr>
        <w:t>The UL carrier frequency for S-band and Ka-band are 2 GHz and 30 GHz, respectively. For HAPS, the amplitude and speed are assumed as 20 km and 15 m/s.</w:t>
      </w:r>
    </w:p>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W</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r.t the preamble format with long sequence, the location error </w:t>
      </w: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LEO at S-band is </w:t>
      </w:r>
      <w:r>
        <w:rPr>
          <w:rFonts w:ascii="Times New Roman" w:eastAsia="宋体" w:hAnsi="Times New Roman" w:cs="Times New Roman" w:hint="eastAsia"/>
          <w:sz w:val="20"/>
          <w:szCs w:val="20"/>
        </w:rPr>
        <w:t>listed</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_Ref47543061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The m</w:t>
      </w:r>
      <w:r>
        <w:rPr>
          <w:rFonts w:ascii="Times New Roman" w:eastAsia="宋体" w:hAnsi="Times New Roman" w:cs="Times New Roman" w:hint="eastAsia"/>
          <w:sz w:val="20"/>
          <w:szCs w:val="20"/>
        </w:rPr>
        <w:t xml:space="preserve">inimum </w:t>
      </w:r>
      <w:r>
        <w:rPr>
          <w:rFonts w:ascii="Times New Roman" w:eastAsia="宋体" w:hAnsi="Times New Roman" w:cs="Times New Roman"/>
          <w:sz w:val="20"/>
          <w:szCs w:val="20"/>
        </w:rPr>
        <w:t>elevation angle e.g., 30 degree for LEO</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is considered for the location error w.r.t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 xml:space="preserve">calculation error and maximum elevation angle, </w:t>
      </w:r>
      <w:r>
        <w:rPr>
          <w:rFonts w:ascii="Times New Roman" w:eastAsia="宋体" w:hAnsi="Times New Roman" w:cs="Times New Roman" w:hint="eastAsia"/>
          <w:sz w:val="20"/>
          <w:szCs w:val="20"/>
        </w:rPr>
        <w:t>e.g.,</w:t>
      </w:r>
      <w:r>
        <w:rPr>
          <w:rFonts w:ascii="Times New Roman" w:eastAsia="宋体" w:hAnsi="Times New Roman" w:cs="Times New Roman"/>
          <w:sz w:val="20"/>
          <w:szCs w:val="20"/>
        </w:rPr>
        <w:t xml:space="preserve"> 90 degree, is considered for the location error w.r.t </w:t>
      </w:r>
      <w:r>
        <w:rPr>
          <w:rFonts w:ascii="Times New Roman" w:eastAsia="宋体" w:hAnsi="Times New Roman" w:cs="Times New Roman" w:hint="eastAsia"/>
          <w:sz w:val="20"/>
          <w:szCs w:val="20"/>
        </w:rPr>
        <w:t xml:space="preserve">Doppler </w:t>
      </w:r>
      <w:r>
        <w:rPr>
          <w:rFonts w:ascii="Times New Roman" w:eastAsia="宋体" w:hAnsi="Times New Roman" w:cs="Times New Roman"/>
          <w:sz w:val="20"/>
          <w:szCs w:val="20"/>
        </w:rPr>
        <w:t>calculation error.</w:t>
      </w:r>
      <w:r>
        <w:rPr>
          <w:rFonts w:ascii="Times New Roman" w:eastAsia="宋体" w:hAnsi="Times New Roman" w:cs="Times New Roman" w:hint="eastAsia"/>
          <w:sz w:val="20"/>
          <w:szCs w:val="20"/>
        </w:rPr>
        <w:t xml:space="preserve"> </w:t>
      </w:r>
    </w:p>
    <w:p w:rsidR="009A44D9" w:rsidRDefault="00010179">
      <w:pPr>
        <w:pStyle w:val="TH"/>
        <w:spacing w:before="240" w:line="240" w:lineRule="auto"/>
        <w:rPr>
          <w:rFonts w:ascii="Times New Roman" w:hAnsi="Times New Roman" w:cs="Times New Roman"/>
          <w:b w:val="0"/>
          <w:sz w:val="20"/>
          <w:szCs w:val="20"/>
        </w:rPr>
      </w:pPr>
      <w:bookmarkStart w:id="7" w:name="_Ref47543061"/>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sidR="00AE7394">
        <w:rPr>
          <w:rFonts w:ascii="Times New Roman" w:hAnsi="Times New Roman" w:cs="Times New Roman"/>
          <w:b w:val="0"/>
          <w:noProof/>
          <w:sz w:val="20"/>
          <w:szCs w:val="20"/>
        </w:rPr>
        <w:t>1</w:t>
      </w:r>
      <w:r>
        <w:rPr>
          <w:rFonts w:ascii="Times New Roman" w:hAnsi="Times New Roman" w:cs="Times New Roman"/>
          <w:b w:val="0"/>
          <w:sz w:val="20"/>
          <w:szCs w:val="20"/>
        </w:rPr>
        <w:fldChar w:fldCharType="end"/>
      </w:r>
      <w:bookmarkEnd w:id="7"/>
      <w:r>
        <w:rPr>
          <w:rFonts w:ascii="Times New Roman" w:hAnsi="Times New Roman" w:cs="Times New Roman"/>
          <w:b w:val="0"/>
          <w:sz w:val="20"/>
          <w:szCs w:val="20"/>
        </w:rPr>
        <w:t xml:space="preserve"> </w:t>
      </w:r>
      <w:r>
        <w:rPr>
          <w:rFonts w:ascii="Times New Roman" w:hAnsi="Times New Roman" w:cs="Times New Roman"/>
          <w:b w:val="0"/>
          <w:bCs/>
          <w:sz w:val="20"/>
          <w:szCs w:val="20"/>
        </w:rPr>
        <w:t>Location error w.r.t tolerable TA and Doppler calculation errors for PRACH format 0-3</w:t>
      </w:r>
    </w:p>
    <w:tbl>
      <w:tblPr>
        <w:tblW w:w="9390" w:type="dxa"/>
        <w:tblLayout w:type="fixed"/>
        <w:tblCellMar>
          <w:left w:w="0" w:type="dxa"/>
          <w:right w:w="0" w:type="dxa"/>
        </w:tblCellMar>
        <w:tblLook w:val="04A0" w:firstRow="1" w:lastRow="0" w:firstColumn="1" w:lastColumn="0" w:noHBand="0" w:noVBand="1"/>
      </w:tblPr>
      <w:tblGrid>
        <w:gridCol w:w="1209"/>
        <w:gridCol w:w="1210"/>
        <w:gridCol w:w="1226"/>
        <w:gridCol w:w="1226"/>
        <w:gridCol w:w="1546"/>
        <w:gridCol w:w="1545"/>
        <w:gridCol w:w="1428"/>
      </w:tblGrid>
      <w:tr w:rsidR="009A44D9">
        <w:trPr>
          <w:trHeight w:val="660"/>
        </w:trPr>
        <w:tc>
          <w:tcPr>
            <w:tcW w:w="120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2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Orbit</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154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15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142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Tolerable location error  (m)</w:t>
            </w:r>
          </w:p>
        </w:tc>
      </w:tr>
      <w:tr w:rsidR="009A44D9">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2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LEO-600</w:t>
            </w:r>
          </w:p>
        </w:tc>
        <w:tc>
          <w:tcPr>
            <w:tcW w:w="1226" w:type="dxa"/>
            <w:vMerge w:val="restart"/>
            <w:tcBorders>
              <w:top w:val="single" w:sz="4" w:space="0" w:color="000000"/>
              <w:left w:val="nil"/>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446.33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8916.71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446.33 </w:t>
            </w:r>
          </w:p>
        </w:tc>
      </w:tr>
      <w:tr w:rsidR="009A44D9">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2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1785.31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8916.71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1785.31 </w:t>
            </w:r>
          </w:p>
        </w:tc>
      </w:tr>
      <w:tr w:rsidR="009A44D9">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3</w:t>
            </w:r>
          </w:p>
        </w:tc>
        <w:tc>
          <w:tcPr>
            <w:tcW w:w="12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LEO-1200</w:t>
            </w:r>
          </w:p>
        </w:tc>
        <w:tc>
          <w:tcPr>
            <w:tcW w:w="12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930.27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8921.57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930.27 </w:t>
            </w:r>
          </w:p>
        </w:tc>
      </w:tr>
      <w:tr w:rsidR="009A44D9">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4</w:t>
            </w:r>
          </w:p>
        </w:tc>
        <w:tc>
          <w:tcPr>
            <w:tcW w:w="12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3721.12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8921.57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3721.12 </w:t>
            </w:r>
          </w:p>
        </w:tc>
      </w:tr>
    </w:tbl>
    <w:p w:rsidR="009A44D9"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the PRACH format with shorter sequence, the corresponding results for LEO and HAPS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_Ref47543308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Moreover, 15 kHz SCS and 30 kHz SCS are used for S-band, while 60 kHz SCS and 120 kHz SCS are used for Ka-band. Therefore, minimum elevation angle (30 degree for LEO, 10 degree for GEO and 5 degree for HAPS) and maximum SCS (30 kHz for S-band and 120 kHz for Ka-band) are considered for the location error w.r.t TA calculation error, while maximum elevation angle (90 degree) and minimum SCS (15 kHz for S-band, and 60 kHz for Ka-band) are considered for the location error w.r.t Doppler calculation error. </w:t>
      </w:r>
    </w:p>
    <w:p w:rsidR="009A44D9" w:rsidRDefault="00010179">
      <w:pPr>
        <w:pStyle w:val="TH"/>
        <w:spacing w:before="240" w:line="240" w:lineRule="auto"/>
        <w:rPr>
          <w:rFonts w:ascii="Times New Roman" w:hAnsi="Times New Roman" w:cs="Times New Roman"/>
          <w:b w:val="0"/>
          <w:sz w:val="20"/>
          <w:szCs w:val="20"/>
        </w:rPr>
      </w:pPr>
      <w:bookmarkStart w:id="8" w:name="_Ref47543308"/>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sidR="00AE7394">
        <w:rPr>
          <w:rFonts w:ascii="Times New Roman" w:hAnsi="Times New Roman" w:cs="Times New Roman"/>
          <w:b w:val="0"/>
          <w:noProof/>
          <w:sz w:val="20"/>
          <w:szCs w:val="20"/>
        </w:rPr>
        <w:t>2</w:t>
      </w:r>
      <w:r>
        <w:rPr>
          <w:rFonts w:ascii="Times New Roman" w:hAnsi="Times New Roman" w:cs="Times New Roman"/>
          <w:b w:val="0"/>
          <w:sz w:val="20"/>
          <w:szCs w:val="20"/>
        </w:rPr>
        <w:fldChar w:fldCharType="end"/>
      </w:r>
      <w:bookmarkEnd w:id="8"/>
      <w:r>
        <w:rPr>
          <w:rFonts w:ascii="Times New Roman" w:hAnsi="Times New Roman" w:cs="Times New Roman"/>
          <w:b w:val="0"/>
          <w:sz w:val="20"/>
          <w:szCs w:val="20"/>
        </w:rPr>
        <w:t xml:space="preserve"> Location error w.r.t tolerable TA and Doppler calculation errors for PRACH format with shorter preamble</w:t>
      </w:r>
    </w:p>
    <w:tbl>
      <w:tblPr>
        <w:tblW w:w="9390" w:type="dxa"/>
        <w:tblLayout w:type="fixed"/>
        <w:tblCellMar>
          <w:left w:w="0" w:type="dxa"/>
          <w:right w:w="0" w:type="dxa"/>
        </w:tblCellMar>
        <w:tblLook w:val="04A0" w:firstRow="1" w:lastRow="0" w:firstColumn="1" w:lastColumn="0" w:noHBand="0" w:noVBand="1"/>
      </w:tblPr>
      <w:tblGrid>
        <w:gridCol w:w="1209"/>
        <w:gridCol w:w="1210"/>
        <w:gridCol w:w="1226"/>
        <w:gridCol w:w="1226"/>
        <w:gridCol w:w="1546"/>
        <w:gridCol w:w="1545"/>
        <w:gridCol w:w="1428"/>
      </w:tblGrid>
      <w:tr w:rsidR="009A44D9">
        <w:trPr>
          <w:trHeight w:val="735"/>
        </w:trPr>
        <w:tc>
          <w:tcPr>
            <w:tcW w:w="120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2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Orbit</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154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15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142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Tolerable location error  (m)</w:t>
            </w:r>
          </w:p>
        </w:tc>
      </w:tr>
      <w:tr w:rsidR="009A44D9">
        <w:trPr>
          <w:trHeight w:val="90"/>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21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LEO-600</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7737.02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405.92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405.92 </w:t>
            </w:r>
          </w:p>
        </w:tc>
      </w:tr>
      <w:tr w:rsidR="009A44D9">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7737.02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304.45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304.45 </w:t>
            </w:r>
          </w:p>
        </w:tc>
      </w:tr>
      <w:tr w:rsidR="009A44D9">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3</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7737.02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1747.29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1747.29 </w:t>
            </w:r>
          </w:p>
        </w:tc>
      </w:tr>
      <w:tr w:rsidR="009A44D9">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4</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1190.20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101.49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101.49 </w:t>
            </w:r>
          </w:p>
        </w:tc>
      </w:tr>
      <w:tr w:rsidR="009A44D9">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5</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1190.20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76.11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76.11 </w:t>
            </w:r>
          </w:p>
        </w:tc>
      </w:tr>
      <w:tr w:rsidR="009A44D9">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6</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1190.20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436.93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436.93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7</w:t>
            </w:r>
          </w:p>
        </w:tc>
        <w:tc>
          <w:tcPr>
            <w:tcW w:w="121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LEO-1200</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16126.50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405.93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405.93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8</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16126.50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304.45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304.45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9</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16126.50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1747.48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1747.48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10</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2480.74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101.49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101.49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11</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2480.74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76.11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76.11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12</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2480.74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436.94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436.94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13</w:t>
            </w:r>
          </w:p>
        </w:tc>
        <w:tc>
          <w:tcPr>
            <w:tcW w:w="1210"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GEO</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1097154.51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356.98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356.98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14</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1097154.51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267.74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267.74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15</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1097154.51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1536.99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1536.99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lastRenderedPageBreak/>
              <w:t>16</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174605.66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89.25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89.25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17</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174605.66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66.93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66.93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18</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174605.66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384.25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384.25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19</w:t>
            </w:r>
          </w:p>
        </w:tc>
        <w:tc>
          <w:tcPr>
            <w:tcW w:w="1210"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HAPS</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310041.07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352.90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352.90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20</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310041.07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264.68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264.68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21</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310041.07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1519.39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1519.39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22</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194255.22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88.23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88.23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23</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194255.22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66.17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66.17 </w:t>
            </w:r>
          </w:p>
        </w:tc>
      </w:tr>
      <w:tr w:rsidR="009A44D9">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24</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9A44D9" w:rsidRDefault="009A44D9">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194255.22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379.86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A44D9" w:rsidRDefault="00010179">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379.86 </w:t>
            </w:r>
          </w:p>
        </w:tc>
      </w:tr>
    </w:tbl>
    <w:p w:rsidR="001140B1" w:rsidRPr="001140B1" w:rsidRDefault="00010179">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results </w:t>
      </w:r>
      <w:r w:rsidR="00AE7394">
        <w:rPr>
          <w:rFonts w:ascii="Times New Roman" w:eastAsia="宋体" w:hAnsi="Times New Roman" w:cs="Times New Roman"/>
          <w:sz w:val="20"/>
          <w:szCs w:val="20"/>
        </w:rPr>
        <w:t xml:space="preserve">based on PRACH </w:t>
      </w:r>
      <w:r>
        <w:rPr>
          <w:rFonts w:ascii="Times New Roman" w:eastAsia="宋体" w:hAnsi="Times New Roman" w:cs="Times New Roman"/>
          <w:sz w:val="20"/>
          <w:szCs w:val="20"/>
        </w:rPr>
        <w:t>above, the minimum tolerable location error (covering the impacts from both satellite and UE) is 76.11 m for LEO at Ka band and even smaller for HAPS and GEO</w:t>
      </w:r>
      <w:r w:rsidR="009D7A28">
        <w:rPr>
          <w:rFonts w:ascii="Times New Roman" w:eastAsia="宋体" w:hAnsi="Times New Roman" w:cs="Times New Roman"/>
          <w:sz w:val="20"/>
          <w:szCs w:val="20"/>
        </w:rPr>
        <w:t>.</w:t>
      </w:r>
      <w:r w:rsidR="00AE7394">
        <w:rPr>
          <w:rFonts w:ascii="Times New Roman" w:eastAsia="宋体" w:hAnsi="Times New Roman" w:cs="Times New Roman"/>
          <w:sz w:val="20"/>
          <w:szCs w:val="20"/>
        </w:rPr>
        <w:t xml:space="preserve"> </w:t>
      </w:r>
      <w:r w:rsidR="009D7A28">
        <w:rPr>
          <w:rFonts w:ascii="Times New Roman" w:eastAsia="宋体" w:hAnsi="Times New Roman" w:cs="Times New Roman"/>
          <w:sz w:val="20"/>
          <w:szCs w:val="20"/>
        </w:rPr>
        <w:t xml:space="preserve">Moreover, with further </w:t>
      </w:r>
      <w:r w:rsidR="00AE7394">
        <w:rPr>
          <w:rFonts w:ascii="Times New Roman" w:eastAsia="宋体" w:hAnsi="Times New Roman" w:cs="Times New Roman"/>
          <w:sz w:val="20"/>
          <w:szCs w:val="20"/>
        </w:rPr>
        <w:t>analysis on the PUSCH case, much smaller value</w:t>
      </w:r>
      <w:r w:rsidR="001140B1">
        <w:rPr>
          <w:rFonts w:ascii="Times New Roman" w:eastAsia="宋体" w:hAnsi="Times New Roman" w:cs="Times New Roman"/>
          <w:sz w:val="20"/>
          <w:szCs w:val="20"/>
        </w:rPr>
        <w:t xml:space="preserve">, e.g., </w:t>
      </w:r>
      <w:r w:rsidR="001140B1" w:rsidRPr="00097080">
        <w:rPr>
          <w:rFonts w:ascii="Times New Roman" w:eastAsia="宋体" w:hAnsi="Times New Roman" w:cs="Times New Roman"/>
          <w:sz w:val="20"/>
          <w:szCs w:val="20"/>
        </w:rPr>
        <w:t xml:space="preserve">50.74 m for LEO and 44.62 m for HAPS are observed in </w:t>
      </w:r>
      <w:r w:rsidR="001140B1" w:rsidRPr="00097080">
        <w:rPr>
          <w:rFonts w:ascii="Times New Roman" w:eastAsia="宋体" w:hAnsi="Times New Roman" w:cs="Times New Roman"/>
          <w:sz w:val="20"/>
          <w:szCs w:val="20"/>
        </w:rPr>
        <w:fldChar w:fldCharType="begin"/>
      </w:r>
      <w:r w:rsidR="001140B1" w:rsidRPr="00097080">
        <w:rPr>
          <w:rFonts w:ascii="Times New Roman" w:eastAsia="宋体" w:hAnsi="Times New Roman" w:cs="Times New Roman"/>
          <w:sz w:val="20"/>
          <w:szCs w:val="20"/>
        </w:rPr>
        <w:instrText xml:space="preserve"> REF _Ref47617268 \h </w:instrText>
      </w:r>
      <w:r w:rsidR="001140B1">
        <w:rPr>
          <w:rFonts w:ascii="Times New Roman" w:eastAsia="宋体" w:hAnsi="Times New Roman" w:cs="Times New Roman"/>
          <w:sz w:val="20"/>
          <w:szCs w:val="20"/>
        </w:rPr>
        <w:instrText xml:space="preserve"> \* MERGEFORMAT </w:instrText>
      </w:r>
      <w:r w:rsidR="001140B1" w:rsidRPr="00097080">
        <w:rPr>
          <w:rFonts w:ascii="Times New Roman" w:eastAsia="宋体" w:hAnsi="Times New Roman" w:cs="Times New Roman"/>
          <w:sz w:val="20"/>
          <w:szCs w:val="20"/>
        </w:rPr>
      </w:r>
      <w:r w:rsidR="001140B1" w:rsidRPr="00097080">
        <w:rPr>
          <w:rFonts w:ascii="Times New Roman" w:eastAsia="宋体" w:hAnsi="Times New Roman" w:cs="Times New Roman"/>
          <w:sz w:val="20"/>
          <w:szCs w:val="20"/>
        </w:rPr>
        <w:fldChar w:fldCharType="separate"/>
      </w:r>
      <w:r w:rsidR="001140B1" w:rsidRPr="00097080">
        <w:rPr>
          <w:rFonts w:ascii="Times New Roman" w:eastAsia="宋体" w:hAnsi="Times New Roman" w:cs="Times New Roman"/>
          <w:sz w:val="20"/>
          <w:szCs w:val="20"/>
        </w:rPr>
        <w:t>Table 3</w:t>
      </w:r>
      <w:r w:rsidR="001140B1" w:rsidRPr="00097080">
        <w:rPr>
          <w:rFonts w:ascii="Times New Roman" w:eastAsia="宋体" w:hAnsi="Times New Roman" w:cs="Times New Roman"/>
          <w:sz w:val="20"/>
          <w:szCs w:val="20"/>
        </w:rPr>
        <w:fldChar w:fldCharType="end"/>
      </w:r>
      <w:r w:rsidR="001140B1">
        <w:rPr>
          <w:rFonts w:ascii="Times New Roman" w:eastAsia="宋体" w:hAnsi="Times New Roman" w:cs="Times New Roman"/>
          <w:sz w:val="20"/>
          <w:szCs w:val="20"/>
        </w:rPr>
        <w:t>.</w:t>
      </w:r>
    </w:p>
    <w:p w:rsidR="00AE7394" w:rsidRPr="00097080" w:rsidRDefault="00AE7394" w:rsidP="00097080">
      <w:pPr>
        <w:pStyle w:val="Caption"/>
        <w:keepNext/>
        <w:rPr>
          <w:b w:val="0"/>
        </w:rPr>
      </w:pPr>
      <w:bookmarkStart w:id="9" w:name="_Ref47617268"/>
      <w:r w:rsidRPr="00097080">
        <w:rPr>
          <w:b w:val="0"/>
        </w:rPr>
        <w:t xml:space="preserve">Table </w:t>
      </w:r>
      <w:r w:rsidRPr="00097080">
        <w:rPr>
          <w:b w:val="0"/>
        </w:rPr>
        <w:fldChar w:fldCharType="begin"/>
      </w:r>
      <w:r w:rsidRPr="00097080">
        <w:rPr>
          <w:b w:val="0"/>
        </w:rPr>
        <w:instrText xml:space="preserve"> SEQ Table \* ARABIC </w:instrText>
      </w:r>
      <w:r w:rsidRPr="00097080">
        <w:rPr>
          <w:b w:val="0"/>
        </w:rPr>
        <w:fldChar w:fldCharType="separate"/>
      </w:r>
      <w:r w:rsidRPr="00097080">
        <w:rPr>
          <w:b w:val="0"/>
          <w:noProof/>
        </w:rPr>
        <w:t>3</w:t>
      </w:r>
      <w:r w:rsidRPr="00097080">
        <w:rPr>
          <w:b w:val="0"/>
        </w:rPr>
        <w:fldChar w:fldCharType="end"/>
      </w:r>
      <w:bookmarkEnd w:id="9"/>
      <w:r w:rsidRPr="00097080">
        <w:rPr>
          <w:b w:val="0"/>
        </w:rPr>
        <w:t xml:space="preserve"> Location error w.r.t tolerable TA and Doppler calculation errors for PUSCH</w:t>
      </w:r>
    </w:p>
    <w:tbl>
      <w:tblPr>
        <w:tblW w:w="0" w:type="auto"/>
        <w:jc w:val="center"/>
        <w:tblCellMar>
          <w:left w:w="0" w:type="dxa"/>
          <w:right w:w="0" w:type="dxa"/>
        </w:tblCellMar>
        <w:tblLook w:val="04A0" w:firstRow="1" w:lastRow="0" w:firstColumn="1" w:lastColumn="0" w:noHBand="0" w:noVBand="1"/>
      </w:tblPr>
      <w:tblGrid>
        <w:gridCol w:w="440"/>
        <w:gridCol w:w="786"/>
        <w:gridCol w:w="1217"/>
        <w:gridCol w:w="557"/>
        <w:gridCol w:w="644"/>
        <w:gridCol w:w="2315"/>
        <w:gridCol w:w="2063"/>
        <w:gridCol w:w="1328"/>
      </w:tblGrid>
      <w:tr w:rsidR="0026440B" w:rsidRPr="00097080" w:rsidTr="00097080">
        <w:trPr>
          <w:trHeight w:val="1575"/>
          <w:jc w:val="center"/>
        </w:trPr>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Pr="0026440B" w:rsidRDefault="0026440B" w:rsidP="0026440B">
            <w:pPr>
              <w:jc w:val="center"/>
              <w:textAlignment w:val="center"/>
              <w:rPr>
                <w:rFonts w:ascii="Times New Roman" w:eastAsia="宋体" w:hAnsi="Times New Roman" w:cs="Times New Roman"/>
                <w:color w:val="000000"/>
                <w:sz w:val="16"/>
                <w:szCs w:val="16"/>
                <w:lang w:bidi="ar"/>
              </w:rPr>
            </w:pPr>
            <w:r w:rsidRPr="0026440B">
              <w:rPr>
                <w:rFonts w:ascii="Times New Roman" w:eastAsia="宋体" w:hAnsi="Times New Roman" w:cs="Times New Roman"/>
                <w:color w:val="000000"/>
                <w:sz w:val="16"/>
                <w:szCs w:val="16"/>
                <w:lang w:bidi="ar"/>
              </w:rPr>
              <w:t>Case ID</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Pr="0026440B" w:rsidRDefault="0026440B" w:rsidP="0026440B">
            <w:pPr>
              <w:jc w:val="center"/>
              <w:textAlignment w:val="center"/>
              <w:rPr>
                <w:rFonts w:ascii="Times New Roman" w:eastAsia="宋体" w:hAnsi="Times New Roman" w:cs="Times New Roman"/>
                <w:color w:val="000000"/>
                <w:sz w:val="16"/>
                <w:szCs w:val="16"/>
                <w:lang w:bidi="ar"/>
              </w:rPr>
            </w:pPr>
            <w:r w:rsidRPr="0026440B">
              <w:rPr>
                <w:rFonts w:ascii="Times New Roman" w:eastAsia="宋体" w:hAnsi="Times New Roman" w:cs="Times New Roman"/>
                <w:color w:val="000000"/>
                <w:sz w:val="16"/>
                <w:szCs w:val="16"/>
                <w:lang w:bidi="ar"/>
              </w:rPr>
              <w:t>Orbit</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Default="0026440B" w:rsidP="0026440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Pr="0026440B" w:rsidRDefault="0026440B" w:rsidP="0026440B">
            <w:pPr>
              <w:jc w:val="center"/>
              <w:textAlignment w:val="center"/>
              <w:rPr>
                <w:rFonts w:ascii="Times New Roman" w:eastAsia="宋体" w:hAnsi="Times New Roman" w:cs="Times New Roman"/>
                <w:color w:val="000000"/>
                <w:sz w:val="16"/>
                <w:szCs w:val="16"/>
                <w:lang w:bidi="ar"/>
              </w:rPr>
            </w:pPr>
            <w:r w:rsidRPr="0026440B">
              <w:rPr>
                <w:rFonts w:ascii="Times New Roman" w:eastAsia="宋体" w:hAnsi="Times New Roman" w:cs="Times New Roman"/>
                <w:color w:val="000000"/>
                <w:sz w:val="16"/>
                <w:szCs w:val="16"/>
                <w:lang w:bidi="ar"/>
              </w:rPr>
              <w:t>SCS (kHz)</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Pr="0026440B" w:rsidRDefault="0026440B" w:rsidP="0026440B">
            <w:pPr>
              <w:jc w:val="center"/>
              <w:textAlignment w:val="center"/>
              <w:rPr>
                <w:rFonts w:ascii="Times New Roman" w:eastAsia="宋体" w:hAnsi="Times New Roman" w:cs="Times New Roman"/>
                <w:color w:val="000000"/>
                <w:sz w:val="16"/>
                <w:szCs w:val="16"/>
                <w:lang w:bidi="ar"/>
              </w:rPr>
            </w:pPr>
            <w:r w:rsidRPr="0026440B">
              <w:rPr>
                <w:rFonts w:ascii="Times New Roman" w:eastAsia="宋体" w:hAnsi="Times New Roman" w:cs="Times New Roman"/>
                <w:color w:val="000000"/>
                <w:sz w:val="16"/>
                <w:szCs w:val="16"/>
                <w:lang w:bidi="ar"/>
              </w:rPr>
              <w:t>Elevation</w:t>
            </w:r>
            <w:r w:rsidRPr="0026440B">
              <w:rPr>
                <w:rFonts w:ascii="Times New Roman" w:eastAsia="宋体" w:hAnsi="Times New Roman" w:cs="Times New Roman"/>
                <w:color w:val="000000"/>
                <w:sz w:val="16"/>
                <w:szCs w:val="16"/>
                <w:lang w:bidi="ar"/>
              </w:rPr>
              <w:br/>
              <w:t>(degree)</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Default="0026440B" w:rsidP="0026440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Default="0026440B" w:rsidP="0026440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0" w:type="auto"/>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6440B" w:rsidRDefault="0026440B" w:rsidP="0026440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Tolerable location error  (m)</w:t>
            </w:r>
          </w:p>
        </w:tc>
      </w:tr>
      <w:tr w:rsidR="00AE7394" w:rsidRPr="00097080" w:rsidTr="00097080">
        <w:trPr>
          <w:trHeight w:val="63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LEO-600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7737.02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19632.90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7737.02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18988.26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497.06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497.06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42970.12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405.92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405.92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16669.88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13883.57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13883.57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39786.57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248.56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248.56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87375.15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202.97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202.97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1190.20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9817.53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1190.20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2983.55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124.29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124.29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6918.73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101.49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101.49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3570.67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6942.17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3570.67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8881.44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62.15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62.15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20408.13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50.74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50.74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GEO</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1144678.41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61665.04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61665.04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1097154.51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356.98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356.98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lastRenderedPageBreak/>
              <w:t>27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2551914.64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43603.91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43603.91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1097154.51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178.49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178.49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29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174605.66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30832.67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30832.67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827560.91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89.25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89.25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524675.16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21802.01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21802.01 </w:t>
            </w:r>
          </w:p>
        </w:tc>
      </w:tr>
      <w:tr w:rsidR="00AE7394" w:rsidRPr="00097080" w:rsidTr="00097080">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32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rPr>
                <w:rFonts w:ascii="Times New Roman" w:hAnsi="Times New Roman"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1097154.51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44.62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E7394" w:rsidRPr="00097080" w:rsidRDefault="00AE7394" w:rsidP="004F3D73">
            <w:pPr>
              <w:jc w:val="center"/>
              <w:textAlignment w:val="center"/>
              <w:rPr>
                <w:rFonts w:ascii="Times New Roman" w:hAnsi="Times New Roman" w:cs="Times New Roman"/>
                <w:color w:val="000000"/>
                <w:sz w:val="20"/>
                <w:szCs w:val="20"/>
              </w:rPr>
            </w:pPr>
            <w:r w:rsidRPr="00097080">
              <w:rPr>
                <w:rFonts w:ascii="Times New Roman" w:hAnsi="Times New Roman" w:cs="Times New Roman"/>
                <w:color w:val="000000"/>
                <w:sz w:val="20"/>
                <w:szCs w:val="20"/>
                <w:lang w:bidi="ar"/>
              </w:rPr>
              <w:t xml:space="preserve">44.62 </w:t>
            </w:r>
          </w:p>
        </w:tc>
      </w:tr>
    </w:tbl>
    <w:p w:rsidR="009A44D9" w:rsidRDefault="00FA1036">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It should be noticed that</w:t>
      </w:r>
      <w:r w:rsidR="00010179">
        <w:rPr>
          <w:rFonts w:ascii="Times New Roman" w:eastAsia="宋体" w:hAnsi="Times New Roman" w:cs="Times New Roman"/>
          <w:sz w:val="20"/>
          <w:szCs w:val="20"/>
        </w:rPr>
        <w:t xml:space="preserve"> such value </w:t>
      </w:r>
      <w:r w:rsidR="002863A3">
        <w:rPr>
          <w:rFonts w:ascii="Times New Roman" w:eastAsia="宋体" w:hAnsi="Times New Roman" w:cs="Times New Roman"/>
          <w:sz w:val="20"/>
          <w:szCs w:val="20"/>
        </w:rPr>
        <w:t xml:space="preserve">is comparable </w:t>
      </w:r>
      <w:r w:rsidR="00E737B5">
        <w:rPr>
          <w:rFonts w:ascii="Times New Roman" w:eastAsia="宋体" w:hAnsi="Times New Roman" w:cs="Times New Roman"/>
          <w:sz w:val="20"/>
          <w:szCs w:val="20"/>
        </w:rPr>
        <w:t>to</w:t>
      </w:r>
      <w:r w:rsidR="00C23183">
        <w:rPr>
          <w:rFonts w:ascii="Times New Roman" w:eastAsia="宋体" w:hAnsi="Times New Roman" w:cs="Times New Roman"/>
          <w:sz w:val="20"/>
          <w:szCs w:val="20"/>
        </w:rPr>
        <w:t xml:space="preserve"> the</w:t>
      </w:r>
      <w:r w:rsidR="00F203C3">
        <w:rPr>
          <w:rFonts w:ascii="Times New Roman" w:eastAsia="宋体" w:hAnsi="Times New Roman" w:cs="Times New Roman"/>
          <w:sz w:val="20"/>
          <w:szCs w:val="20"/>
        </w:rPr>
        <w:t xml:space="preserve"> intrinsic error of </w:t>
      </w:r>
      <w:r w:rsidR="00F203C3" w:rsidRPr="00097080">
        <w:rPr>
          <w:rFonts w:ascii="Times New Roman" w:eastAsia="宋体" w:hAnsi="Times New Roman" w:cs="Times New Roman"/>
          <w:sz w:val="20"/>
          <w:szCs w:val="20"/>
        </w:rPr>
        <w:t xml:space="preserve">two-line element set (TLE) (e.g., from 0~50m </w:t>
      </w:r>
      <w:r w:rsidR="00F203C3" w:rsidRPr="00097080">
        <w:rPr>
          <w:rFonts w:ascii="Times New Roman" w:eastAsia="宋体" w:hAnsi="Times New Roman" w:cs="Times New Roman"/>
          <w:sz w:val="20"/>
          <w:szCs w:val="20"/>
        </w:rPr>
        <w:fldChar w:fldCharType="begin"/>
      </w:r>
      <w:r w:rsidR="00F203C3" w:rsidRPr="00097080">
        <w:rPr>
          <w:rFonts w:ascii="Times New Roman" w:eastAsia="宋体" w:hAnsi="Times New Roman" w:cs="Times New Roman"/>
          <w:sz w:val="20"/>
          <w:szCs w:val="20"/>
        </w:rPr>
        <w:instrText xml:space="preserve"> REF _Ref47617893 \r \h </w:instrText>
      </w:r>
      <w:r w:rsidR="00F203C3">
        <w:rPr>
          <w:rFonts w:ascii="Times New Roman" w:eastAsia="宋体" w:hAnsi="Times New Roman" w:cs="Times New Roman"/>
          <w:sz w:val="20"/>
          <w:szCs w:val="20"/>
        </w:rPr>
        <w:instrText xml:space="preserve"> \* MERGEFORMAT </w:instrText>
      </w:r>
      <w:r w:rsidR="00F203C3" w:rsidRPr="00097080">
        <w:rPr>
          <w:rFonts w:ascii="Times New Roman" w:eastAsia="宋体" w:hAnsi="Times New Roman" w:cs="Times New Roman"/>
          <w:sz w:val="20"/>
          <w:szCs w:val="20"/>
        </w:rPr>
      </w:r>
      <w:r w:rsidR="00F203C3" w:rsidRPr="00097080">
        <w:rPr>
          <w:rFonts w:ascii="Times New Roman" w:eastAsia="宋体" w:hAnsi="Times New Roman" w:cs="Times New Roman"/>
          <w:sz w:val="20"/>
          <w:szCs w:val="20"/>
        </w:rPr>
        <w:fldChar w:fldCharType="separate"/>
      </w:r>
      <w:r w:rsidR="00B046CF">
        <w:rPr>
          <w:rFonts w:ascii="Times New Roman" w:eastAsia="宋体" w:hAnsi="Times New Roman" w:cs="Times New Roman"/>
          <w:sz w:val="20"/>
          <w:szCs w:val="20"/>
        </w:rPr>
        <w:t>[6]</w:t>
      </w:r>
      <w:r w:rsidR="00F203C3" w:rsidRPr="00097080">
        <w:rPr>
          <w:rFonts w:ascii="Times New Roman" w:eastAsia="宋体" w:hAnsi="Times New Roman" w:cs="Times New Roman"/>
          <w:sz w:val="20"/>
          <w:szCs w:val="20"/>
        </w:rPr>
        <w:fldChar w:fldCharType="end"/>
      </w:r>
      <w:r w:rsidR="00F203C3" w:rsidRPr="00097080">
        <w:rPr>
          <w:rFonts w:ascii="Times New Roman" w:eastAsia="宋体" w:hAnsi="Times New Roman" w:cs="Times New Roman"/>
          <w:sz w:val="20"/>
          <w:szCs w:val="20"/>
        </w:rPr>
        <w:t>)</w:t>
      </w:r>
      <w:r w:rsidR="00B046CF">
        <w:rPr>
          <w:rFonts w:ascii="Times New Roman" w:eastAsia="宋体" w:hAnsi="Times New Roman" w:cs="Times New Roman"/>
          <w:sz w:val="20"/>
          <w:szCs w:val="20"/>
        </w:rPr>
        <w:t xml:space="preserve"> and will </w:t>
      </w:r>
      <w:r w:rsidR="001701A1">
        <w:rPr>
          <w:rFonts w:ascii="Times New Roman" w:eastAsia="宋体" w:hAnsi="Times New Roman" w:cs="Times New Roman"/>
          <w:sz w:val="20"/>
          <w:szCs w:val="20"/>
        </w:rPr>
        <w:t xml:space="preserve">be </w:t>
      </w:r>
      <w:r w:rsidR="00B046CF">
        <w:rPr>
          <w:rFonts w:ascii="Times New Roman" w:eastAsia="宋体" w:hAnsi="Times New Roman" w:cs="Times New Roman"/>
          <w:sz w:val="20"/>
          <w:szCs w:val="20"/>
        </w:rPr>
        <w:t xml:space="preserve">even smaller with </w:t>
      </w:r>
      <w:r w:rsidR="001701A1">
        <w:rPr>
          <w:rFonts w:ascii="Times New Roman" w:eastAsia="宋体" w:hAnsi="Times New Roman" w:cs="Times New Roman"/>
          <w:sz w:val="20"/>
          <w:szCs w:val="20"/>
        </w:rPr>
        <w:t xml:space="preserve">further </w:t>
      </w:r>
      <w:r w:rsidR="00B046CF">
        <w:rPr>
          <w:rFonts w:ascii="Times New Roman" w:eastAsia="宋体" w:hAnsi="Times New Roman" w:cs="Times New Roman"/>
          <w:sz w:val="20"/>
          <w:szCs w:val="20"/>
        </w:rPr>
        <w:t xml:space="preserve">consideration on the positioning error </w:t>
      </w:r>
      <w:r w:rsidR="00B046CF">
        <w:rPr>
          <w:rFonts w:ascii="Times New Roman" w:eastAsia="宋体" w:hAnsi="Times New Roman" w:cs="Times New Roman"/>
          <w:sz w:val="20"/>
          <w:szCs w:val="20"/>
        </w:rPr>
        <w:fldChar w:fldCharType="begin"/>
      </w:r>
      <w:r w:rsidR="00B046CF">
        <w:rPr>
          <w:rFonts w:ascii="Times New Roman" w:eastAsia="宋体" w:hAnsi="Times New Roman" w:cs="Times New Roman"/>
          <w:sz w:val="20"/>
          <w:szCs w:val="20"/>
        </w:rPr>
        <w:instrText xml:space="preserve"> REF _Ref47616435 \r \h </w:instrText>
      </w:r>
      <w:r w:rsidR="00B046CF">
        <w:rPr>
          <w:rFonts w:ascii="Times New Roman" w:eastAsia="宋体" w:hAnsi="Times New Roman" w:cs="Times New Roman"/>
          <w:sz w:val="20"/>
          <w:szCs w:val="20"/>
        </w:rPr>
      </w:r>
      <w:r w:rsidR="00B046CF">
        <w:rPr>
          <w:rFonts w:ascii="Times New Roman" w:eastAsia="宋体" w:hAnsi="Times New Roman" w:cs="Times New Roman"/>
          <w:sz w:val="20"/>
          <w:szCs w:val="20"/>
        </w:rPr>
        <w:fldChar w:fldCharType="separate"/>
      </w:r>
      <w:r w:rsidR="00B046CF">
        <w:rPr>
          <w:rFonts w:ascii="Times New Roman" w:eastAsia="宋体" w:hAnsi="Times New Roman" w:cs="Times New Roman"/>
          <w:sz w:val="20"/>
          <w:szCs w:val="20"/>
        </w:rPr>
        <w:t>[7]</w:t>
      </w:r>
      <w:r w:rsidR="00B046CF">
        <w:rPr>
          <w:rFonts w:ascii="Times New Roman" w:eastAsia="宋体" w:hAnsi="Times New Roman" w:cs="Times New Roman"/>
          <w:sz w:val="20"/>
          <w:szCs w:val="20"/>
        </w:rPr>
        <w:fldChar w:fldCharType="end"/>
      </w:r>
      <w:r w:rsidR="00010179">
        <w:rPr>
          <w:rFonts w:ascii="Times New Roman" w:eastAsia="宋体" w:hAnsi="Times New Roman" w:cs="Times New Roman"/>
          <w:sz w:val="20"/>
          <w:szCs w:val="20"/>
        </w:rPr>
        <w:t xml:space="preserve">. Therefore, the </w:t>
      </w:r>
      <w:r w:rsidR="00010179">
        <w:rPr>
          <w:rFonts w:ascii="Times New Roman" w:eastAsia="宋体" w:hAnsi="Times New Roman" w:cs="Times New Roman" w:hint="eastAsia"/>
          <w:sz w:val="20"/>
          <w:szCs w:val="20"/>
        </w:rPr>
        <w:t xml:space="preserve">TA </w:t>
      </w:r>
      <w:r w:rsidR="00010179">
        <w:rPr>
          <w:rFonts w:ascii="Times New Roman" w:eastAsia="宋体" w:hAnsi="Times New Roman" w:cs="Times New Roman"/>
          <w:sz w:val="20"/>
          <w:szCs w:val="20"/>
        </w:rPr>
        <w:t xml:space="preserve">and </w:t>
      </w:r>
      <w:r w:rsidR="00C46174">
        <w:rPr>
          <w:rFonts w:ascii="Times New Roman" w:eastAsia="宋体" w:hAnsi="Times New Roman" w:cs="Times New Roman"/>
          <w:sz w:val="20"/>
          <w:szCs w:val="20"/>
        </w:rPr>
        <w:t>frequency</w:t>
      </w:r>
      <w:r w:rsidR="00010179">
        <w:rPr>
          <w:rFonts w:ascii="Times New Roman" w:eastAsia="宋体" w:hAnsi="Times New Roman" w:cs="Times New Roman" w:hint="eastAsia"/>
          <w:sz w:val="20"/>
          <w:szCs w:val="20"/>
        </w:rPr>
        <w:t xml:space="preserve"> </w:t>
      </w:r>
      <w:r w:rsidR="00010179">
        <w:rPr>
          <w:rFonts w:ascii="Times New Roman" w:eastAsia="宋体" w:hAnsi="Times New Roman" w:cs="Times New Roman"/>
          <w:sz w:val="20"/>
          <w:szCs w:val="20"/>
        </w:rPr>
        <w:t xml:space="preserve">calculation error caused by </w:t>
      </w:r>
      <w:r w:rsidR="00A23559">
        <w:rPr>
          <w:rFonts w:ascii="Times New Roman" w:eastAsia="宋体" w:hAnsi="Times New Roman" w:cs="Times New Roman"/>
          <w:sz w:val="20"/>
          <w:szCs w:val="20"/>
        </w:rPr>
        <w:t xml:space="preserve">overall </w:t>
      </w:r>
      <w:r w:rsidR="00010179">
        <w:rPr>
          <w:rFonts w:ascii="Times New Roman" w:eastAsia="宋体" w:hAnsi="Times New Roman" w:cs="Times New Roman"/>
          <w:sz w:val="20"/>
          <w:szCs w:val="20"/>
        </w:rPr>
        <w:t>location error</w:t>
      </w:r>
      <w:r w:rsidR="00010179">
        <w:rPr>
          <w:rFonts w:ascii="Times New Roman" w:eastAsia="宋体" w:hAnsi="Times New Roman" w:cs="Times New Roman" w:hint="eastAsia"/>
          <w:sz w:val="20"/>
          <w:szCs w:val="20"/>
        </w:rPr>
        <w:t xml:space="preserve"> </w:t>
      </w:r>
      <w:r w:rsidR="00010179">
        <w:rPr>
          <w:rFonts w:ascii="Times New Roman" w:eastAsia="宋体" w:hAnsi="Times New Roman" w:cs="Times New Roman"/>
          <w:sz w:val="20"/>
          <w:szCs w:val="20"/>
        </w:rPr>
        <w:t xml:space="preserve">need to be specifically </w:t>
      </w:r>
      <w:r w:rsidR="00010179">
        <w:rPr>
          <w:rFonts w:ascii="Times New Roman" w:eastAsia="宋体" w:hAnsi="Times New Roman" w:cs="Times New Roman" w:hint="eastAsia"/>
          <w:sz w:val="20"/>
          <w:szCs w:val="20"/>
        </w:rPr>
        <w:t>considered in</w:t>
      </w:r>
      <w:r w:rsidR="00010179">
        <w:rPr>
          <w:rFonts w:ascii="Times New Roman" w:eastAsia="宋体" w:hAnsi="Times New Roman" w:cs="Times New Roman"/>
          <w:sz w:val="20"/>
          <w:szCs w:val="20"/>
        </w:rPr>
        <w:t xml:space="preserve"> pre-compensation</w:t>
      </w:r>
      <w:r w:rsidR="00183B52">
        <w:rPr>
          <w:rFonts w:ascii="Times New Roman" w:eastAsia="宋体" w:hAnsi="Times New Roman" w:cs="Times New Roman"/>
          <w:sz w:val="20"/>
          <w:szCs w:val="20"/>
        </w:rPr>
        <w:t>,</w:t>
      </w:r>
      <w:r w:rsidR="00010179">
        <w:rPr>
          <w:rFonts w:ascii="Times New Roman" w:eastAsia="宋体" w:hAnsi="Times New Roman" w:cs="Times New Roman" w:hint="eastAsia"/>
          <w:sz w:val="20"/>
          <w:szCs w:val="20"/>
        </w:rPr>
        <w:t xml:space="preserve"> especially in Ka-band cases</w:t>
      </w:r>
      <w:r w:rsidR="00010179">
        <w:rPr>
          <w:rFonts w:ascii="Times New Roman" w:eastAsia="宋体" w:hAnsi="Times New Roman" w:cs="Times New Roman"/>
          <w:sz w:val="20"/>
          <w:szCs w:val="20"/>
        </w:rPr>
        <w:t>.</w:t>
      </w:r>
    </w:p>
    <w:p w:rsidR="009A44D9" w:rsidRDefault="00010179">
      <w:pPr>
        <w:spacing w:beforeLines="50" w:before="120" w:afterLines="50" w:after="120"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i/>
          <w:sz w:val="20"/>
          <w:szCs w:val="20"/>
        </w:rPr>
        <w:t>Evaluation of accuracy for pre-compensation at UE side should be conducted.</w:t>
      </w:r>
    </w:p>
    <w:p w:rsidR="009A44D9" w:rsidRDefault="00010179">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bookmarkStart w:id="10" w:name="_GoBack"/>
      <w:bookmarkEnd w:id="10"/>
    </w:p>
    <w:p w:rsidR="009A44D9" w:rsidRDefault="0001017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w:t>
      </w:r>
    </w:p>
    <w:p w:rsidR="009A44D9" w:rsidRDefault="00010179">
      <w:pPr>
        <w:spacing w:beforeLines="50" w:before="120" w:afterLines="50" w:after="120" w:line="240" w:lineRule="auto"/>
        <w:ind w:left="42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i/>
          <w:sz w:val="20"/>
          <w:szCs w:val="20"/>
        </w:rPr>
        <w:t xml:space="preserve">Terminologies i.e., </w:t>
      </w:r>
      <w:r>
        <w:rPr>
          <w:rFonts w:ascii="Times New Roman" w:hAnsi="Times New Roman" w:cs="Times New Roman"/>
          <w:b/>
          <w:i/>
          <w:sz w:val="20"/>
          <w:szCs w:val="20"/>
        </w:rPr>
        <w:t>Reference point</w:t>
      </w:r>
      <w:r>
        <w:rPr>
          <w:rFonts w:ascii="Times New Roman" w:hAnsi="Times New Roman" w:cs="Times New Roman"/>
          <w:i/>
          <w:sz w:val="20"/>
          <w:szCs w:val="20"/>
        </w:rPr>
        <w:t xml:space="preserve">, </w:t>
      </w:r>
      <w:r>
        <w:rPr>
          <w:rFonts w:ascii="Times New Roman" w:hAnsi="Times New Roman" w:cs="Times New Roman"/>
          <w:b/>
          <w:i/>
          <w:sz w:val="20"/>
          <w:szCs w:val="20"/>
        </w:rPr>
        <w:t>Common X</w:t>
      </w:r>
      <w:r>
        <w:rPr>
          <w:rFonts w:ascii="Times New Roman" w:hAnsi="Times New Roman" w:cs="Times New Roman"/>
          <w:i/>
          <w:sz w:val="20"/>
          <w:szCs w:val="20"/>
        </w:rPr>
        <w:t>,</w:t>
      </w:r>
      <w:r>
        <w:rPr>
          <w:rFonts w:ascii="Times New Roman" w:hAnsi="Times New Roman" w:cs="Times New Roman"/>
          <w:b/>
          <w:i/>
          <w:sz w:val="20"/>
          <w:szCs w:val="20"/>
        </w:rPr>
        <w:t xml:space="preserve"> UE-specific X</w:t>
      </w:r>
      <w:r>
        <w:rPr>
          <w:rFonts w:ascii="Times New Roman" w:hAnsi="Times New Roman" w:cs="Times New Roman"/>
          <w:i/>
          <w:sz w:val="20"/>
          <w:szCs w:val="20"/>
        </w:rPr>
        <w:t>,</w:t>
      </w:r>
      <w:r>
        <w:rPr>
          <w:rFonts w:ascii="Times New Roman" w:hAnsi="Times New Roman" w:cs="Times New Roman"/>
          <w:b/>
          <w:i/>
          <w:sz w:val="20"/>
          <w:szCs w:val="20"/>
        </w:rPr>
        <w:t xml:space="preserve"> Full X, Pre-compensation</w:t>
      </w:r>
      <w:r>
        <w:rPr>
          <w:rFonts w:ascii="Times New Roman" w:hAnsi="Times New Roman" w:cs="Times New Roman"/>
          <w:sz w:val="20"/>
          <w:szCs w:val="20"/>
        </w:rPr>
        <w:t xml:space="preserve">, </w:t>
      </w:r>
      <w:r>
        <w:rPr>
          <w:rFonts w:ascii="Times New Roman" w:hAnsi="Times New Roman" w:cs="Times New Roman"/>
          <w:b/>
          <w:i/>
          <w:sz w:val="20"/>
          <w:szCs w:val="20"/>
        </w:rPr>
        <w:t>Post-compensation</w:t>
      </w:r>
      <w:r>
        <w:rPr>
          <w:rFonts w:ascii="Times New Roman" w:eastAsia="宋体" w:hAnsi="Times New Roman"/>
          <w:i/>
          <w:sz w:val="20"/>
          <w:szCs w:val="20"/>
        </w:rPr>
        <w:t xml:space="preserve">, </w:t>
      </w:r>
      <w:r>
        <w:rPr>
          <w:rFonts w:ascii="Times New Roman" w:hAnsi="Times New Roman" w:cs="Times New Roman"/>
          <w:b/>
          <w:i/>
          <w:sz w:val="20"/>
          <w:szCs w:val="20"/>
        </w:rPr>
        <w:t xml:space="preserve">BS-dominated and UE-dominated </w:t>
      </w:r>
      <w:r>
        <w:rPr>
          <w:rFonts w:ascii="Times New Roman" w:eastAsia="宋体" w:hAnsi="Times New Roman"/>
          <w:i/>
          <w:sz w:val="20"/>
          <w:szCs w:val="20"/>
        </w:rPr>
        <w:t xml:space="preserve">with corresponding </w:t>
      </w:r>
      <w:r>
        <w:rPr>
          <w:rFonts w:ascii="Times New Roman" w:eastAsia="宋体" w:hAnsi="Times New Roman" w:hint="eastAsia"/>
          <w:i/>
          <w:sz w:val="20"/>
          <w:szCs w:val="20"/>
        </w:rPr>
        <w:t>definition</w:t>
      </w:r>
      <w:r>
        <w:rPr>
          <w:rFonts w:ascii="Times New Roman" w:eastAsia="宋体" w:hAnsi="Times New Roman"/>
          <w:i/>
          <w:sz w:val="20"/>
          <w:szCs w:val="20"/>
        </w:rPr>
        <w:t xml:space="preserve"> can be considered as baseline for</w:t>
      </w:r>
      <w:r>
        <w:rPr>
          <w:rFonts w:ascii="Times New Roman" w:hAnsi="Times New Roman" w:cs="Times New Roman"/>
          <w:i/>
          <w:sz w:val="20"/>
          <w:szCs w:val="20"/>
        </w:rPr>
        <w:t xml:space="preserve"> discussion.</w:t>
      </w:r>
    </w:p>
    <w:p w:rsidR="009A44D9" w:rsidRDefault="00010179">
      <w:pPr>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i/>
          <w:sz w:val="20"/>
          <w:szCs w:val="20"/>
        </w:rPr>
        <w:t>UE capability to support GNSS and pre-compensation should be defined separately.</w:t>
      </w:r>
    </w:p>
    <w:p w:rsidR="009A44D9" w:rsidRDefault="00010179">
      <w:pPr>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i/>
          <w:sz w:val="20"/>
          <w:szCs w:val="20"/>
        </w:rPr>
        <w:t>Taking the implementation of pre-compensation and post-compensation on the common frequency offset at BS side for DL and UL, respectively, as baseline assumption.</w:t>
      </w:r>
    </w:p>
    <w:p w:rsidR="009A44D9" w:rsidRDefault="00010179">
      <w:pPr>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i/>
          <w:sz w:val="20"/>
          <w:szCs w:val="20"/>
        </w:rPr>
        <w:t>Full TA compensation at UE side to ensure the DL/UL frame boundary alignment at BS side should be considered as the baseline assumption.</w:t>
      </w:r>
    </w:p>
    <w:p w:rsidR="009A44D9" w:rsidRDefault="00010179">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宋体" w:hAnsi="Times New Roman"/>
          <w:i/>
          <w:sz w:val="20"/>
          <w:szCs w:val="20"/>
        </w:rPr>
        <w:t xml:space="preserve">For UL synchronization, both BS-dominated and UE-dominated mechanism can be considered. </w:t>
      </w:r>
    </w:p>
    <w:p w:rsidR="009A44D9" w:rsidRDefault="00010179">
      <w:pPr>
        <w:spacing w:beforeLines="50" w:before="120" w:afterLines="50" w:after="120" w:line="240" w:lineRule="auto"/>
        <w:ind w:left="42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i/>
          <w:sz w:val="20"/>
          <w:szCs w:val="20"/>
        </w:rPr>
        <w:t>Evaluation of accuracy for pre-compensation at UE side should be conducted.</w:t>
      </w:r>
    </w:p>
    <w:p w:rsidR="009A44D9" w:rsidRDefault="00010179">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rsidR="009A44D9" w:rsidRDefault="00010179">
      <w:pPr>
        <w:pStyle w:val="ListParagraph1"/>
        <w:numPr>
          <w:ilvl w:val="0"/>
          <w:numId w:val="11"/>
        </w:numPr>
        <w:spacing w:after="0" w:line="240" w:lineRule="auto"/>
        <w:ind w:left="505" w:hanging="505"/>
        <w:rPr>
          <w:rFonts w:ascii="Times New Roman" w:hAnsi="Times New Roman"/>
          <w:sz w:val="20"/>
          <w:szCs w:val="20"/>
        </w:rPr>
      </w:pPr>
      <w:bookmarkStart w:id="11" w:name="_Ref40282619"/>
      <w:r>
        <w:rPr>
          <w:rFonts w:ascii="Times New Roman" w:hAnsi="Times New Roman"/>
          <w:sz w:val="20"/>
          <w:szCs w:val="20"/>
        </w:rPr>
        <w:t>RP-193234 WI for solutions for NR to support non-terrestrial networks (NTN), RAN#86</w:t>
      </w:r>
      <w:bookmarkEnd w:id="11"/>
    </w:p>
    <w:p w:rsidR="009A44D9" w:rsidRDefault="00010179">
      <w:pPr>
        <w:pStyle w:val="ListParagraph1"/>
        <w:numPr>
          <w:ilvl w:val="0"/>
          <w:numId w:val="11"/>
        </w:numPr>
        <w:spacing w:after="0" w:line="240" w:lineRule="auto"/>
        <w:ind w:left="505" w:hanging="505"/>
        <w:rPr>
          <w:rFonts w:ascii="Times New Roman" w:hAnsi="Times New Roman"/>
          <w:sz w:val="20"/>
          <w:szCs w:val="20"/>
        </w:rPr>
      </w:pPr>
      <w:bookmarkStart w:id="12" w:name="_Ref47518974"/>
      <w:r>
        <w:rPr>
          <w:rFonts w:ascii="Times New Roman" w:hAnsi="Times New Roman"/>
          <w:sz w:val="20"/>
          <w:szCs w:val="20"/>
        </w:rPr>
        <w:t>TR 38.821 Solutions for NR to support non-terrestrial networks (NTN)</w:t>
      </w:r>
      <w:r>
        <w:rPr>
          <w:rFonts w:ascii="Times New Roman" w:hAnsi="Times New Roman" w:hint="eastAsia"/>
          <w:sz w:val="20"/>
          <w:szCs w:val="20"/>
        </w:rPr>
        <w:t>.</w:t>
      </w:r>
      <w:bookmarkEnd w:id="12"/>
    </w:p>
    <w:p w:rsidR="009A44D9" w:rsidRDefault="00010179">
      <w:pPr>
        <w:pStyle w:val="ListParagraph1"/>
        <w:numPr>
          <w:ilvl w:val="0"/>
          <w:numId w:val="11"/>
        </w:numPr>
        <w:spacing w:after="0" w:line="240" w:lineRule="auto"/>
        <w:ind w:left="505" w:hanging="505"/>
        <w:rPr>
          <w:rFonts w:ascii="Times New Roman" w:hAnsi="Times New Roman"/>
          <w:sz w:val="20"/>
          <w:szCs w:val="20"/>
        </w:rPr>
      </w:pPr>
      <w:bookmarkStart w:id="13" w:name="_Ref47542483"/>
      <w:r>
        <w:rPr>
          <w:rFonts w:ascii="Times New Roman" w:hAnsi="Times New Roman"/>
          <w:sz w:val="20"/>
          <w:szCs w:val="20"/>
        </w:rPr>
        <w:t>TS 38.211 Physical channel and modulation</w:t>
      </w:r>
      <w:r>
        <w:rPr>
          <w:rFonts w:ascii="Times New Roman" w:hAnsi="Times New Roman" w:hint="eastAsia"/>
          <w:sz w:val="20"/>
          <w:szCs w:val="20"/>
        </w:rPr>
        <w:t>.</w:t>
      </w:r>
      <w:bookmarkEnd w:id="13"/>
    </w:p>
    <w:p w:rsidR="009A44D9" w:rsidRDefault="00010179" w:rsidP="00097080">
      <w:pPr>
        <w:pStyle w:val="ListParagraph1"/>
        <w:numPr>
          <w:ilvl w:val="0"/>
          <w:numId w:val="11"/>
        </w:numPr>
        <w:spacing w:after="0" w:line="240" w:lineRule="auto"/>
        <w:ind w:left="505" w:hanging="505"/>
        <w:rPr>
          <w:rFonts w:ascii="Times New Roman" w:hAnsi="Times New Roman"/>
          <w:sz w:val="20"/>
          <w:szCs w:val="20"/>
        </w:rPr>
      </w:pPr>
      <w:bookmarkStart w:id="14" w:name="_Ref47532571"/>
      <w:r>
        <w:rPr>
          <w:rFonts w:ascii="Times New Roman" w:hAnsi="Times New Roman"/>
          <w:sz w:val="20"/>
          <w:szCs w:val="20"/>
        </w:rPr>
        <w:t>R1-</w:t>
      </w:r>
      <w:r w:rsidR="009F1B51">
        <w:rPr>
          <w:rFonts w:ascii="Times New Roman" w:hAnsi="Times New Roman"/>
          <w:sz w:val="20"/>
          <w:szCs w:val="20"/>
        </w:rPr>
        <w:t xml:space="preserve">2005966 </w:t>
      </w:r>
      <w:r w:rsidR="009F1B51" w:rsidRPr="009F1B51">
        <w:rPr>
          <w:rFonts w:ascii="Times New Roman" w:hAnsi="Times New Roman"/>
          <w:sz w:val="20"/>
          <w:szCs w:val="20"/>
        </w:rPr>
        <w:t>Discussion on additional enhancement for NTN</w:t>
      </w:r>
      <w:r>
        <w:rPr>
          <w:rFonts w:ascii="Times New Roman" w:hAnsi="Times New Roman"/>
          <w:sz w:val="20"/>
          <w:szCs w:val="20"/>
        </w:rPr>
        <w:t>, RAN1#102-e.</w:t>
      </w:r>
      <w:bookmarkEnd w:id="14"/>
    </w:p>
    <w:p w:rsidR="009A44D9" w:rsidRDefault="00010179">
      <w:pPr>
        <w:pStyle w:val="ListParagraph1"/>
        <w:numPr>
          <w:ilvl w:val="0"/>
          <w:numId w:val="11"/>
        </w:numPr>
        <w:spacing w:after="0" w:line="240" w:lineRule="auto"/>
        <w:ind w:left="505" w:hanging="505"/>
        <w:rPr>
          <w:rFonts w:ascii="Times New Roman" w:hAnsi="Times New Roman"/>
          <w:sz w:val="20"/>
          <w:szCs w:val="20"/>
        </w:rPr>
      </w:pPr>
      <w:bookmarkStart w:id="15" w:name="_Ref47535608"/>
      <w:r>
        <w:rPr>
          <w:rFonts w:ascii="Times New Roman" w:hAnsi="Times New Roman"/>
          <w:sz w:val="20"/>
          <w:szCs w:val="20"/>
        </w:rPr>
        <w:t>R1-</w:t>
      </w:r>
      <w:r w:rsidR="009F1B51">
        <w:rPr>
          <w:rFonts w:ascii="Times New Roman" w:hAnsi="Times New Roman"/>
          <w:sz w:val="20"/>
          <w:szCs w:val="20"/>
        </w:rPr>
        <w:t xml:space="preserve">2005963 </w:t>
      </w:r>
      <w:r>
        <w:rPr>
          <w:rFonts w:ascii="Times New Roman" w:hAnsi="Times New Roman"/>
          <w:sz w:val="20"/>
          <w:szCs w:val="20"/>
        </w:rPr>
        <w:t>Discussion on timing relationship for NTN, RAN1#102-e.</w:t>
      </w:r>
      <w:bookmarkEnd w:id="15"/>
    </w:p>
    <w:p w:rsidR="009A44D9" w:rsidRDefault="00BE2852" w:rsidP="00010179">
      <w:pPr>
        <w:pStyle w:val="ListParagraph1"/>
        <w:numPr>
          <w:ilvl w:val="0"/>
          <w:numId w:val="11"/>
        </w:numPr>
        <w:spacing w:after="0" w:line="240" w:lineRule="auto"/>
        <w:ind w:left="505" w:hanging="505"/>
        <w:rPr>
          <w:rFonts w:ascii="Times New Roman" w:hAnsi="Times New Roman"/>
          <w:sz w:val="20"/>
          <w:szCs w:val="20"/>
        </w:rPr>
      </w:pPr>
      <w:bookmarkStart w:id="16" w:name="_Ref47617893"/>
      <w:r w:rsidRPr="00010179">
        <w:rPr>
          <w:rFonts w:ascii="Times New Roman" w:hAnsi="Times New Roman"/>
          <w:sz w:val="20"/>
          <w:szCs w:val="20"/>
        </w:rPr>
        <w:t>S</w:t>
      </w:r>
      <w:r w:rsidRPr="00010179">
        <w:rPr>
          <w:rFonts w:ascii="Times New Roman" w:hAnsi="Times New Roman" w:hint="eastAsia"/>
          <w:sz w:val="20"/>
          <w:szCs w:val="20"/>
        </w:rPr>
        <w:t>atellite</w:t>
      </w:r>
      <w:r w:rsidRPr="00010179">
        <w:rPr>
          <w:rFonts w:ascii="Times New Roman" w:hAnsi="Times New Roman"/>
          <w:sz w:val="20"/>
          <w:szCs w:val="20"/>
        </w:rPr>
        <w:t> </w:t>
      </w:r>
      <w:r w:rsidRPr="00010179">
        <w:rPr>
          <w:rFonts w:ascii="Times New Roman" w:hAnsi="Times New Roman" w:hint="eastAsia"/>
          <w:sz w:val="20"/>
          <w:szCs w:val="20"/>
        </w:rPr>
        <w:t>Orbits</w:t>
      </w:r>
      <w:r w:rsidRPr="00010179">
        <w:rPr>
          <w:rFonts w:ascii="Times New Roman" w:hAnsi="Times New Roman"/>
          <w:sz w:val="20"/>
          <w:szCs w:val="20"/>
        </w:rPr>
        <w:t> </w:t>
      </w:r>
      <w:r w:rsidRPr="00010179">
        <w:rPr>
          <w:rFonts w:ascii="Times New Roman" w:hAnsi="Times New Roman" w:hint="eastAsia"/>
          <w:sz w:val="20"/>
          <w:szCs w:val="20"/>
        </w:rPr>
        <w:t>Model,</w:t>
      </w:r>
      <w:r w:rsidRPr="00010179">
        <w:rPr>
          <w:rFonts w:ascii="Times New Roman" w:hAnsi="Times New Roman"/>
          <w:sz w:val="20"/>
          <w:szCs w:val="20"/>
        </w:rPr>
        <w:t> Methods and Application, </w:t>
      </w:r>
      <w:r w:rsidRPr="00010179">
        <w:rPr>
          <w:rFonts w:ascii="Times New Roman" w:hAnsi="Times New Roman" w:hint="eastAsia"/>
          <w:sz w:val="20"/>
          <w:szCs w:val="20"/>
        </w:rPr>
        <w:t>Oliver</w:t>
      </w:r>
      <w:r w:rsidRPr="00010179">
        <w:rPr>
          <w:rFonts w:ascii="Times New Roman" w:hAnsi="Times New Roman"/>
          <w:sz w:val="20"/>
          <w:szCs w:val="20"/>
        </w:rPr>
        <w:t> </w:t>
      </w:r>
      <w:proofErr w:type="spellStart"/>
      <w:r w:rsidRPr="00010179">
        <w:rPr>
          <w:rFonts w:ascii="Times New Roman" w:hAnsi="Times New Roman" w:hint="eastAsia"/>
          <w:sz w:val="20"/>
          <w:szCs w:val="20"/>
        </w:rPr>
        <w:t>Montenbruck</w:t>
      </w:r>
      <w:proofErr w:type="spellEnd"/>
      <w:r w:rsidRPr="00010179">
        <w:rPr>
          <w:rFonts w:ascii="Times New Roman" w:hAnsi="Times New Roman"/>
          <w:sz w:val="20"/>
          <w:szCs w:val="20"/>
        </w:rPr>
        <w:t> </w:t>
      </w:r>
      <w:r w:rsidRPr="00010179">
        <w:rPr>
          <w:rFonts w:ascii="Times New Roman" w:hAnsi="Times New Roman" w:hint="eastAsia"/>
          <w:sz w:val="20"/>
          <w:szCs w:val="20"/>
        </w:rPr>
        <w:t>etc.</w:t>
      </w:r>
      <w:r w:rsidRPr="00010179">
        <w:rPr>
          <w:rFonts w:ascii="Times New Roman" w:hAnsi="Times New Roman"/>
          <w:sz w:val="20"/>
          <w:szCs w:val="20"/>
        </w:rPr>
        <w:t> Springer 2000</w:t>
      </w:r>
      <w:bookmarkEnd w:id="16"/>
    </w:p>
    <w:p w:rsidR="00B046CF" w:rsidRDefault="00B046CF" w:rsidP="00B046CF">
      <w:pPr>
        <w:pStyle w:val="ListParagraph1"/>
        <w:numPr>
          <w:ilvl w:val="0"/>
          <w:numId w:val="11"/>
        </w:numPr>
        <w:spacing w:after="0" w:line="240" w:lineRule="auto"/>
        <w:ind w:left="505" w:hanging="505"/>
        <w:rPr>
          <w:rFonts w:ascii="Times New Roman" w:hAnsi="Times New Roman"/>
          <w:sz w:val="20"/>
          <w:szCs w:val="20"/>
        </w:rPr>
      </w:pPr>
      <w:bookmarkStart w:id="17" w:name="_Ref47616435"/>
      <w:r w:rsidRPr="00097080">
        <w:rPr>
          <w:rFonts w:ascii="Times New Roman" w:hAnsi="Times New Roman"/>
          <w:sz w:val="20"/>
          <w:szCs w:val="20"/>
        </w:rPr>
        <w:t>TR 38.855</w:t>
      </w:r>
      <w:r w:rsidRPr="00097080">
        <w:rPr>
          <w:rFonts w:ascii="Times New Roman" w:hAnsi="Times New Roman" w:hint="eastAsia"/>
          <w:sz w:val="20"/>
          <w:szCs w:val="20"/>
        </w:rPr>
        <w:t>, </w:t>
      </w:r>
      <w:r w:rsidRPr="00097080">
        <w:rPr>
          <w:rFonts w:ascii="Times New Roman" w:hAnsi="Times New Roman"/>
          <w:sz w:val="20"/>
          <w:szCs w:val="20"/>
        </w:rPr>
        <w:t>Study on NR positioning support</w:t>
      </w:r>
      <w:bookmarkEnd w:id="17"/>
    </w:p>
    <w:sectPr w:rsidR="00B04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54ADD0"/>
    <w:multiLevelType w:val="singleLevel"/>
    <w:tmpl w:val="8154ADD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EF37B6"/>
    <w:multiLevelType w:val="multilevel"/>
    <w:tmpl w:val="06EF37B6"/>
    <w:lvl w:ilvl="0">
      <w:start w:val="1"/>
      <w:numFmt w:val="bullet"/>
      <w:lvlText w:val=""/>
      <w:lvlJc w:val="left"/>
      <w:pPr>
        <w:ind w:left="780" w:hanging="360"/>
      </w:pPr>
      <w:rPr>
        <w:rFonts w:ascii="Symbol" w:hAnsi="Symbol" w:hint="default"/>
        <w:lang w:val="en-US"/>
      </w:rPr>
    </w:lvl>
    <w:lvl w:ilvl="1">
      <w:start w:val="7"/>
      <w:numFmt w:val="bullet"/>
      <w:lvlText w:val="-"/>
      <w:lvlJc w:val="left"/>
      <w:pPr>
        <w:ind w:left="1260" w:hanging="420"/>
      </w:pPr>
      <w:rPr>
        <w:rFonts w:ascii="Times New Roman" w:eastAsia="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E85DD1"/>
    <w:multiLevelType w:val="multilevel"/>
    <w:tmpl w:val="29E85DD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 w15:restartNumberingAfterBreak="0">
    <w:nsid w:val="39C74BB0"/>
    <w:multiLevelType w:val="multilevel"/>
    <w:tmpl w:val="39C74BB0"/>
    <w:lvl w:ilvl="0">
      <w:start w:val="1"/>
      <w:numFmt w:val="bullet"/>
      <w:lvlText w:val=""/>
      <w:lvlJc w:val="left"/>
      <w:pPr>
        <w:ind w:left="860" w:hanging="420"/>
      </w:pPr>
      <w:rPr>
        <w:rFonts w:ascii="Symbol" w:hAnsi="Symbol" w:hint="default"/>
        <w:lang w:val="en-GB"/>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6D4F54C"/>
    <w:multiLevelType w:val="singleLevel"/>
    <w:tmpl w:val="76D4F54C"/>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8"/>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E88"/>
    <w:rsid w:val="00005B14"/>
    <w:rsid w:val="00010179"/>
    <w:rsid w:val="00015039"/>
    <w:rsid w:val="00015132"/>
    <w:rsid w:val="00021434"/>
    <w:rsid w:val="00021AAE"/>
    <w:rsid w:val="00022E51"/>
    <w:rsid w:val="0002404A"/>
    <w:rsid w:val="000255C7"/>
    <w:rsid w:val="00026E46"/>
    <w:rsid w:val="000305EC"/>
    <w:rsid w:val="0003439E"/>
    <w:rsid w:val="00042798"/>
    <w:rsid w:val="00043AF2"/>
    <w:rsid w:val="00044F8D"/>
    <w:rsid w:val="00046EC1"/>
    <w:rsid w:val="00052ACC"/>
    <w:rsid w:val="00053670"/>
    <w:rsid w:val="00054B9E"/>
    <w:rsid w:val="0005556D"/>
    <w:rsid w:val="0005679C"/>
    <w:rsid w:val="000600A4"/>
    <w:rsid w:val="0006445C"/>
    <w:rsid w:val="00064C14"/>
    <w:rsid w:val="00067072"/>
    <w:rsid w:val="000707AD"/>
    <w:rsid w:val="000771C3"/>
    <w:rsid w:val="00082E56"/>
    <w:rsid w:val="00085425"/>
    <w:rsid w:val="0008799A"/>
    <w:rsid w:val="0009076A"/>
    <w:rsid w:val="00091DB0"/>
    <w:rsid w:val="000929D3"/>
    <w:rsid w:val="00096412"/>
    <w:rsid w:val="00096975"/>
    <w:rsid w:val="00097080"/>
    <w:rsid w:val="00097C29"/>
    <w:rsid w:val="000A0C3E"/>
    <w:rsid w:val="000A2896"/>
    <w:rsid w:val="000A5D0C"/>
    <w:rsid w:val="000A6607"/>
    <w:rsid w:val="000A6F26"/>
    <w:rsid w:val="000B512D"/>
    <w:rsid w:val="000B6824"/>
    <w:rsid w:val="000C0612"/>
    <w:rsid w:val="000C1944"/>
    <w:rsid w:val="000C3A22"/>
    <w:rsid w:val="000C46C1"/>
    <w:rsid w:val="000C4C4D"/>
    <w:rsid w:val="000C5487"/>
    <w:rsid w:val="000C600C"/>
    <w:rsid w:val="000C6104"/>
    <w:rsid w:val="000C6CD2"/>
    <w:rsid w:val="000D2FFB"/>
    <w:rsid w:val="000D5861"/>
    <w:rsid w:val="000D598F"/>
    <w:rsid w:val="000E6592"/>
    <w:rsid w:val="000E65C2"/>
    <w:rsid w:val="000E7075"/>
    <w:rsid w:val="000F22A0"/>
    <w:rsid w:val="000F4FB7"/>
    <w:rsid w:val="000F504F"/>
    <w:rsid w:val="000F58D7"/>
    <w:rsid w:val="000F7322"/>
    <w:rsid w:val="000F785C"/>
    <w:rsid w:val="00102955"/>
    <w:rsid w:val="001030E2"/>
    <w:rsid w:val="00103ADE"/>
    <w:rsid w:val="001053A6"/>
    <w:rsid w:val="001140B1"/>
    <w:rsid w:val="001164E7"/>
    <w:rsid w:val="001175A0"/>
    <w:rsid w:val="0011771D"/>
    <w:rsid w:val="00117825"/>
    <w:rsid w:val="00120E8A"/>
    <w:rsid w:val="00123A6A"/>
    <w:rsid w:val="00127950"/>
    <w:rsid w:val="0013220A"/>
    <w:rsid w:val="001366F7"/>
    <w:rsid w:val="001369F6"/>
    <w:rsid w:val="001401D1"/>
    <w:rsid w:val="00140AE4"/>
    <w:rsid w:val="0014136C"/>
    <w:rsid w:val="0014315C"/>
    <w:rsid w:val="001455B4"/>
    <w:rsid w:val="00152B82"/>
    <w:rsid w:val="00152E17"/>
    <w:rsid w:val="00153DFD"/>
    <w:rsid w:val="00163958"/>
    <w:rsid w:val="00163E3A"/>
    <w:rsid w:val="001645E4"/>
    <w:rsid w:val="00164C6C"/>
    <w:rsid w:val="001701A1"/>
    <w:rsid w:val="00170CD6"/>
    <w:rsid w:val="0017178D"/>
    <w:rsid w:val="00174EE5"/>
    <w:rsid w:val="00176496"/>
    <w:rsid w:val="001767AB"/>
    <w:rsid w:val="00177052"/>
    <w:rsid w:val="00183B52"/>
    <w:rsid w:val="0019297F"/>
    <w:rsid w:val="00194A42"/>
    <w:rsid w:val="001964C6"/>
    <w:rsid w:val="001A040E"/>
    <w:rsid w:val="001A27EA"/>
    <w:rsid w:val="001A585E"/>
    <w:rsid w:val="001A74B5"/>
    <w:rsid w:val="001B0350"/>
    <w:rsid w:val="001B1525"/>
    <w:rsid w:val="001C25B2"/>
    <w:rsid w:val="001C3113"/>
    <w:rsid w:val="001C34AE"/>
    <w:rsid w:val="001C53EA"/>
    <w:rsid w:val="001D3FCD"/>
    <w:rsid w:val="001D4C5A"/>
    <w:rsid w:val="001D59E7"/>
    <w:rsid w:val="001D7DDA"/>
    <w:rsid w:val="001E2099"/>
    <w:rsid w:val="001E27E0"/>
    <w:rsid w:val="001F42FD"/>
    <w:rsid w:val="001F532D"/>
    <w:rsid w:val="001F73F8"/>
    <w:rsid w:val="001F7E2A"/>
    <w:rsid w:val="00206259"/>
    <w:rsid w:val="00211192"/>
    <w:rsid w:val="00215B4B"/>
    <w:rsid w:val="00215C0C"/>
    <w:rsid w:val="00220F13"/>
    <w:rsid w:val="00222B41"/>
    <w:rsid w:val="002239D1"/>
    <w:rsid w:val="002260BF"/>
    <w:rsid w:val="002277AA"/>
    <w:rsid w:val="00227B9F"/>
    <w:rsid w:val="00230E2F"/>
    <w:rsid w:val="002337F7"/>
    <w:rsid w:val="0024089A"/>
    <w:rsid w:val="00241E81"/>
    <w:rsid w:val="0024761D"/>
    <w:rsid w:val="002509D8"/>
    <w:rsid w:val="00255D8E"/>
    <w:rsid w:val="00261495"/>
    <w:rsid w:val="002617C9"/>
    <w:rsid w:val="00263CF8"/>
    <w:rsid w:val="0026440B"/>
    <w:rsid w:val="00266010"/>
    <w:rsid w:val="002662CE"/>
    <w:rsid w:val="00272F96"/>
    <w:rsid w:val="002749B2"/>
    <w:rsid w:val="00275DCE"/>
    <w:rsid w:val="00282B5B"/>
    <w:rsid w:val="002863A3"/>
    <w:rsid w:val="00286A1A"/>
    <w:rsid w:val="00291D82"/>
    <w:rsid w:val="002924F9"/>
    <w:rsid w:val="0029575D"/>
    <w:rsid w:val="002A03BF"/>
    <w:rsid w:val="002A40A7"/>
    <w:rsid w:val="002A431F"/>
    <w:rsid w:val="002A5DBB"/>
    <w:rsid w:val="002A7E58"/>
    <w:rsid w:val="002B3F53"/>
    <w:rsid w:val="002B4341"/>
    <w:rsid w:val="002B5408"/>
    <w:rsid w:val="002B6229"/>
    <w:rsid w:val="002C37D5"/>
    <w:rsid w:val="002C4016"/>
    <w:rsid w:val="002C5BB8"/>
    <w:rsid w:val="002C5C2D"/>
    <w:rsid w:val="002C636A"/>
    <w:rsid w:val="002C7437"/>
    <w:rsid w:val="002D35C9"/>
    <w:rsid w:val="002D3617"/>
    <w:rsid w:val="002D74A4"/>
    <w:rsid w:val="002E0B56"/>
    <w:rsid w:val="002E2D9B"/>
    <w:rsid w:val="002E5475"/>
    <w:rsid w:val="002E5A0C"/>
    <w:rsid w:val="002E6858"/>
    <w:rsid w:val="002E7D93"/>
    <w:rsid w:val="002E7F8A"/>
    <w:rsid w:val="002F0209"/>
    <w:rsid w:val="002F2A52"/>
    <w:rsid w:val="002F37E8"/>
    <w:rsid w:val="002F67A2"/>
    <w:rsid w:val="002F67ED"/>
    <w:rsid w:val="002F7433"/>
    <w:rsid w:val="00300887"/>
    <w:rsid w:val="00301393"/>
    <w:rsid w:val="00301C35"/>
    <w:rsid w:val="0030330F"/>
    <w:rsid w:val="00303EF0"/>
    <w:rsid w:val="00304BDE"/>
    <w:rsid w:val="00305DE0"/>
    <w:rsid w:val="00313773"/>
    <w:rsid w:val="00313AD9"/>
    <w:rsid w:val="00313D16"/>
    <w:rsid w:val="00315C20"/>
    <w:rsid w:val="00317C7F"/>
    <w:rsid w:val="00320CAE"/>
    <w:rsid w:val="00331622"/>
    <w:rsid w:val="0033281C"/>
    <w:rsid w:val="00332D42"/>
    <w:rsid w:val="00334734"/>
    <w:rsid w:val="00334DC2"/>
    <w:rsid w:val="003405B7"/>
    <w:rsid w:val="003409CF"/>
    <w:rsid w:val="00345FE9"/>
    <w:rsid w:val="003503C4"/>
    <w:rsid w:val="00350FBC"/>
    <w:rsid w:val="00351908"/>
    <w:rsid w:val="00352086"/>
    <w:rsid w:val="003529BD"/>
    <w:rsid w:val="003557F6"/>
    <w:rsid w:val="003634E2"/>
    <w:rsid w:val="00363A78"/>
    <w:rsid w:val="003643F8"/>
    <w:rsid w:val="00366F67"/>
    <w:rsid w:val="0037065F"/>
    <w:rsid w:val="0037266D"/>
    <w:rsid w:val="00375C1F"/>
    <w:rsid w:val="003813C9"/>
    <w:rsid w:val="003821A4"/>
    <w:rsid w:val="00384A17"/>
    <w:rsid w:val="003851CA"/>
    <w:rsid w:val="0038541D"/>
    <w:rsid w:val="00387508"/>
    <w:rsid w:val="00391906"/>
    <w:rsid w:val="0039193E"/>
    <w:rsid w:val="003933F1"/>
    <w:rsid w:val="00396782"/>
    <w:rsid w:val="00396A19"/>
    <w:rsid w:val="00396FEB"/>
    <w:rsid w:val="003A0AD5"/>
    <w:rsid w:val="003A0F24"/>
    <w:rsid w:val="003A11F6"/>
    <w:rsid w:val="003A1352"/>
    <w:rsid w:val="003A1EED"/>
    <w:rsid w:val="003A2742"/>
    <w:rsid w:val="003A2EE6"/>
    <w:rsid w:val="003A3310"/>
    <w:rsid w:val="003A420A"/>
    <w:rsid w:val="003A519F"/>
    <w:rsid w:val="003B1113"/>
    <w:rsid w:val="003B1C09"/>
    <w:rsid w:val="003B3197"/>
    <w:rsid w:val="003C54CC"/>
    <w:rsid w:val="003C562C"/>
    <w:rsid w:val="003D0C02"/>
    <w:rsid w:val="003D471D"/>
    <w:rsid w:val="003D645F"/>
    <w:rsid w:val="003E10DC"/>
    <w:rsid w:val="003E21E9"/>
    <w:rsid w:val="003E239D"/>
    <w:rsid w:val="003E4FCA"/>
    <w:rsid w:val="003E4FD3"/>
    <w:rsid w:val="003F16AA"/>
    <w:rsid w:val="003F2293"/>
    <w:rsid w:val="003F7954"/>
    <w:rsid w:val="00402656"/>
    <w:rsid w:val="00406247"/>
    <w:rsid w:val="00407B1E"/>
    <w:rsid w:val="00416785"/>
    <w:rsid w:val="0041746D"/>
    <w:rsid w:val="00417601"/>
    <w:rsid w:val="00417A84"/>
    <w:rsid w:val="00422186"/>
    <w:rsid w:val="0042521E"/>
    <w:rsid w:val="0042651B"/>
    <w:rsid w:val="004301DE"/>
    <w:rsid w:val="0043065A"/>
    <w:rsid w:val="004318CA"/>
    <w:rsid w:val="00431B46"/>
    <w:rsid w:val="00431D3C"/>
    <w:rsid w:val="00436FE4"/>
    <w:rsid w:val="0044070C"/>
    <w:rsid w:val="004408D1"/>
    <w:rsid w:val="00444241"/>
    <w:rsid w:val="0044653C"/>
    <w:rsid w:val="00446894"/>
    <w:rsid w:val="00446BAA"/>
    <w:rsid w:val="00446F38"/>
    <w:rsid w:val="00452D85"/>
    <w:rsid w:val="00453286"/>
    <w:rsid w:val="00453D6C"/>
    <w:rsid w:val="00456C5B"/>
    <w:rsid w:val="0045733E"/>
    <w:rsid w:val="004573FA"/>
    <w:rsid w:val="00463942"/>
    <w:rsid w:val="004654BC"/>
    <w:rsid w:val="004654CB"/>
    <w:rsid w:val="004702C2"/>
    <w:rsid w:val="004729EF"/>
    <w:rsid w:val="004731FE"/>
    <w:rsid w:val="0048145B"/>
    <w:rsid w:val="00481B43"/>
    <w:rsid w:val="00484022"/>
    <w:rsid w:val="0048570C"/>
    <w:rsid w:val="00486487"/>
    <w:rsid w:val="0048653D"/>
    <w:rsid w:val="00490561"/>
    <w:rsid w:val="00492181"/>
    <w:rsid w:val="00492CAD"/>
    <w:rsid w:val="004945B1"/>
    <w:rsid w:val="00494A92"/>
    <w:rsid w:val="00495944"/>
    <w:rsid w:val="00495A57"/>
    <w:rsid w:val="004A15E7"/>
    <w:rsid w:val="004A6BE0"/>
    <w:rsid w:val="004B05AC"/>
    <w:rsid w:val="004B27B7"/>
    <w:rsid w:val="004B37BB"/>
    <w:rsid w:val="004B6616"/>
    <w:rsid w:val="004C047C"/>
    <w:rsid w:val="004C1572"/>
    <w:rsid w:val="004C32AB"/>
    <w:rsid w:val="004C35CF"/>
    <w:rsid w:val="004D379F"/>
    <w:rsid w:val="004D4385"/>
    <w:rsid w:val="004D58FF"/>
    <w:rsid w:val="004D59E5"/>
    <w:rsid w:val="004D76CF"/>
    <w:rsid w:val="004E0E27"/>
    <w:rsid w:val="004E26D6"/>
    <w:rsid w:val="004E5051"/>
    <w:rsid w:val="004E5664"/>
    <w:rsid w:val="004E6534"/>
    <w:rsid w:val="004E7C87"/>
    <w:rsid w:val="004F004C"/>
    <w:rsid w:val="004F09C8"/>
    <w:rsid w:val="004F47F5"/>
    <w:rsid w:val="0050203F"/>
    <w:rsid w:val="00503202"/>
    <w:rsid w:val="00504167"/>
    <w:rsid w:val="0050481A"/>
    <w:rsid w:val="00514A5F"/>
    <w:rsid w:val="0051721B"/>
    <w:rsid w:val="00520474"/>
    <w:rsid w:val="005245D8"/>
    <w:rsid w:val="00527981"/>
    <w:rsid w:val="00531476"/>
    <w:rsid w:val="00532BE2"/>
    <w:rsid w:val="00536865"/>
    <w:rsid w:val="00541AC2"/>
    <w:rsid w:val="0054377D"/>
    <w:rsid w:val="005439BB"/>
    <w:rsid w:val="00547EED"/>
    <w:rsid w:val="0055515C"/>
    <w:rsid w:val="00555635"/>
    <w:rsid w:val="00557DF7"/>
    <w:rsid w:val="00560112"/>
    <w:rsid w:val="0056072D"/>
    <w:rsid w:val="00561353"/>
    <w:rsid w:val="005631E5"/>
    <w:rsid w:val="00572794"/>
    <w:rsid w:val="005776B3"/>
    <w:rsid w:val="00577FA3"/>
    <w:rsid w:val="005800AE"/>
    <w:rsid w:val="005818F2"/>
    <w:rsid w:val="0058467B"/>
    <w:rsid w:val="005847B4"/>
    <w:rsid w:val="00591A9A"/>
    <w:rsid w:val="005942C9"/>
    <w:rsid w:val="00594C6B"/>
    <w:rsid w:val="00595FF1"/>
    <w:rsid w:val="0059699B"/>
    <w:rsid w:val="00596B55"/>
    <w:rsid w:val="005A50F5"/>
    <w:rsid w:val="005A6441"/>
    <w:rsid w:val="005A6487"/>
    <w:rsid w:val="005A65FF"/>
    <w:rsid w:val="005B0A1B"/>
    <w:rsid w:val="005B0FF6"/>
    <w:rsid w:val="005B4921"/>
    <w:rsid w:val="005B4E40"/>
    <w:rsid w:val="005B55FD"/>
    <w:rsid w:val="005B7EB5"/>
    <w:rsid w:val="005C1775"/>
    <w:rsid w:val="005C25C8"/>
    <w:rsid w:val="005C39A8"/>
    <w:rsid w:val="005C5C1D"/>
    <w:rsid w:val="005C6038"/>
    <w:rsid w:val="005C611C"/>
    <w:rsid w:val="005C7591"/>
    <w:rsid w:val="005C7BD4"/>
    <w:rsid w:val="005D0FDD"/>
    <w:rsid w:val="005D13C0"/>
    <w:rsid w:val="005E4CFC"/>
    <w:rsid w:val="005E567C"/>
    <w:rsid w:val="005E5A35"/>
    <w:rsid w:val="005F347D"/>
    <w:rsid w:val="005F5FD1"/>
    <w:rsid w:val="005F6497"/>
    <w:rsid w:val="005F6A35"/>
    <w:rsid w:val="00600C3B"/>
    <w:rsid w:val="00604BE0"/>
    <w:rsid w:val="00604ED7"/>
    <w:rsid w:val="00605C52"/>
    <w:rsid w:val="006069F4"/>
    <w:rsid w:val="00611BF1"/>
    <w:rsid w:val="0061579B"/>
    <w:rsid w:val="00615F56"/>
    <w:rsid w:val="00617E3E"/>
    <w:rsid w:val="0062089C"/>
    <w:rsid w:val="006209D1"/>
    <w:rsid w:val="00620E03"/>
    <w:rsid w:val="00621317"/>
    <w:rsid w:val="006230D7"/>
    <w:rsid w:val="00623636"/>
    <w:rsid w:val="00625539"/>
    <w:rsid w:val="00631E9B"/>
    <w:rsid w:val="00632335"/>
    <w:rsid w:val="006336DA"/>
    <w:rsid w:val="00633ED2"/>
    <w:rsid w:val="00634D66"/>
    <w:rsid w:val="006361FB"/>
    <w:rsid w:val="006401AA"/>
    <w:rsid w:val="006424C6"/>
    <w:rsid w:val="00642581"/>
    <w:rsid w:val="00646900"/>
    <w:rsid w:val="0065067B"/>
    <w:rsid w:val="006527BC"/>
    <w:rsid w:val="006535CC"/>
    <w:rsid w:val="0065408D"/>
    <w:rsid w:val="006555CE"/>
    <w:rsid w:val="0065614D"/>
    <w:rsid w:val="006570C0"/>
    <w:rsid w:val="006608EA"/>
    <w:rsid w:val="00661B5D"/>
    <w:rsid w:val="006651B0"/>
    <w:rsid w:val="006652A5"/>
    <w:rsid w:val="0067386F"/>
    <w:rsid w:val="00673B49"/>
    <w:rsid w:val="00675B3E"/>
    <w:rsid w:val="00675E96"/>
    <w:rsid w:val="0067706A"/>
    <w:rsid w:val="00680759"/>
    <w:rsid w:val="00681096"/>
    <w:rsid w:val="00682298"/>
    <w:rsid w:val="0068392E"/>
    <w:rsid w:val="0068550A"/>
    <w:rsid w:val="0068710D"/>
    <w:rsid w:val="006942DE"/>
    <w:rsid w:val="00695493"/>
    <w:rsid w:val="00695773"/>
    <w:rsid w:val="006959F4"/>
    <w:rsid w:val="00695F4B"/>
    <w:rsid w:val="006A5005"/>
    <w:rsid w:val="006A770B"/>
    <w:rsid w:val="006A78AB"/>
    <w:rsid w:val="006B11B9"/>
    <w:rsid w:val="006B2BFD"/>
    <w:rsid w:val="006B3E7B"/>
    <w:rsid w:val="006B44DE"/>
    <w:rsid w:val="006B68A9"/>
    <w:rsid w:val="006C5BED"/>
    <w:rsid w:val="006C63FA"/>
    <w:rsid w:val="006C7C94"/>
    <w:rsid w:val="006D02E7"/>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11028"/>
    <w:rsid w:val="0071444C"/>
    <w:rsid w:val="007153CF"/>
    <w:rsid w:val="0071629F"/>
    <w:rsid w:val="00716683"/>
    <w:rsid w:val="00720231"/>
    <w:rsid w:val="00720CE7"/>
    <w:rsid w:val="0072125E"/>
    <w:rsid w:val="00721DCF"/>
    <w:rsid w:val="0072286D"/>
    <w:rsid w:val="00724E82"/>
    <w:rsid w:val="0072584B"/>
    <w:rsid w:val="00727CFC"/>
    <w:rsid w:val="00730741"/>
    <w:rsid w:val="00731300"/>
    <w:rsid w:val="00737944"/>
    <w:rsid w:val="007453DB"/>
    <w:rsid w:val="00745D0B"/>
    <w:rsid w:val="00746683"/>
    <w:rsid w:val="007571BD"/>
    <w:rsid w:val="00764DDF"/>
    <w:rsid w:val="00765D18"/>
    <w:rsid w:val="00766275"/>
    <w:rsid w:val="00766EC1"/>
    <w:rsid w:val="00770305"/>
    <w:rsid w:val="0077075F"/>
    <w:rsid w:val="00782A64"/>
    <w:rsid w:val="0078436A"/>
    <w:rsid w:val="0078446D"/>
    <w:rsid w:val="00786908"/>
    <w:rsid w:val="0078717C"/>
    <w:rsid w:val="007918C5"/>
    <w:rsid w:val="00792482"/>
    <w:rsid w:val="007934C2"/>
    <w:rsid w:val="00795081"/>
    <w:rsid w:val="007A040B"/>
    <w:rsid w:val="007A29B5"/>
    <w:rsid w:val="007A29D7"/>
    <w:rsid w:val="007A4006"/>
    <w:rsid w:val="007A41C8"/>
    <w:rsid w:val="007A508F"/>
    <w:rsid w:val="007A64E8"/>
    <w:rsid w:val="007A6D32"/>
    <w:rsid w:val="007A7CBF"/>
    <w:rsid w:val="007A7E5E"/>
    <w:rsid w:val="007A7FCE"/>
    <w:rsid w:val="007B2A3D"/>
    <w:rsid w:val="007B4875"/>
    <w:rsid w:val="007B5970"/>
    <w:rsid w:val="007C24BE"/>
    <w:rsid w:val="007C3DE6"/>
    <w:rsid w:val="007C4DC2"/>
    <w:rsid w:val="007C6683"/>
    <w:rsid w:val="007C74B8"/>
    <w:rsid w:val="007C74EA"/>
    <w:rsid w:val="007C7CFE"/>
    <w:rsid w:val="007D056B"/>
    <w:rsid w:val="007D0D62"/>
    <w:rsid w:val="007D21B4"/>
    <w:rsid w:val="007D38B5"/>
    <w:rsid w:val="007D544F"/>
    <w:rsid w:val="007D6245"/>
    <w:rsid w:val="007E3897"/>
    <w:rsid w:val="007E5230"/>
    <w:rsid w:val="007E62AD"/>
    <w:rsid w:val="007E6927"/>
    <w:rsid w:val="007F12AD"/>
    <w:rsid w:val="007F19DB"/>
    <w:rsid w:val="007F2E8A"/>
    <w:rsid w:val="007F457F"/>
    <w:rsid w:val="007F4FDC"/>
    <w:rsid w:val="007F56C2"/>
    <w:rsid w:val="007F5D5F"/>
    <w:rsid w:val="00804E53"/>
    <w:rsid w:val="008073A4"/>
    <w:rsid w:val="00807AAA"/>
    <w:rsid w:val="00807D66"/>
    <w:rsid w:val="00810BD2"/>
    <w:rsid w:val="00811502"/>
    <w:rsid w:val="00813870"/>
    <w:rsid w:val="0081452D"/>
    <w:rsid w:val="00815139"/>
    <w:rsid w:val="00815DAB"/>
    <w:rsid w:val="00820855"/>
    <w:rsid w:val="0082282A"/>
    <w:rsid w:val="0082555C"/>
    <w:rsid w:val="00825DCF"/>
    <w:rsid w:val="00825ED8"/>
    <w:rsid w:val="00841902"/>
    <w:rsid w:val="008423C1"/>
    <w:rsid w:val="0084566C"/>
    <w:rsid w:val="008463DA"/>
    <w:rsid w:val="00846BA7"/>
    <w:rsid w:val="0084712E"/>
    <w:rsid w:val="0085425D"/>
    <w:rsid w:val="008551DD"/>
    <w:rsid w:val="00860235"/>
    <w:rsid w:val="008663D3"/>
    <w:rsid w:val="008722CE"/>
    <w:rsid w:val="0087264B"/>
    <w:rsid w:val="00874A7F"/>
    <w:rsid w:val="00876465"/>
    <w:rsid w:val="00880BCB"/>
    <w:rsid w:val="00880D19"/>
    <w:rsid w:val="00882746"/>
    <w:rsid w:val="00885657"/>
    <w:rsid w:val="008906B0"/>
    <w:rsid w:val="00892E93"/>
    <w:rsid w:val="00893F1F"/>
    <w:rsid w:val="008945C3"/>
    <w:rsid w:val="00895F0E"/>
    <w:rsid w:val="00896877"/>
    <w:rsid w:val="00897EB1"/>
    <w:rsid w:val="008A2C68"/>
    <w:rsid w:val="008B3AB6"/>
    <w:rsid w:val="008B5145"/>
    <w:rsid w:val="008B550C"/>
    <w:rsid w:val="008B7BC8"/>
    <w:rsid w:val="008C3882"/>
    <w:rsid w:val="008C67BD"/>
    <w:rsid w:val="008D1239"/>
    <w:rsid w:val="008E2C5C"/>
    <w:rsid w:val="008E4FCB"/>
    <w:rsid w:val="008F0532"/>
    <w:rsid w:val="008F066C"/>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51A21"/>
    <w:rsid w:val="00954629"/>
    <w:rsid w:val="00954CFA"/>
    <w:rsid w:val="009562E2"/>
    <w:rsid w:val="00956DE4"/>
    <w:rsid w:val="009668B8"/>
    <w:rsid w:val="009679E4"/>
    <w:rsid w:val="009706AB"/>
    <w:rsid w:val="00971E51"/>
    <w:rsid w:val="0097384E"/>
    <w:rsid w:val="00975429"/>
    <w:rsid w:val="00976332"/>
    <w:rsid w:val="00976F12"/>
    <w:rsid w:val="00977D7C"/>
    <w:rsid w:val="009817F8"/>
    <w:rsid w:val="00985A1E"/>
    <w:rsid w:val="00985A93"/>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73D9"/>
    <w:rsid w:val="009C721A"/>
    <w:rsid w:val="009C7FA7"/>
    <w:rsid w:val="009D143E"/>
    <w:rsid w:val="009D211C"/>
    <w:rsid w:val="009D2A8B"/>
    <w:rsid w:val="009D3883"/>
    <w:rsid w:val="009D56B7"/>
    <w:rsid w:val="009D5E95"/>
    <w:rsid w:val="009D6DB8"/>
    <w:rsid w:val="009D7A28"/>
    <w:rsid w:val="009E4666"/>
    <w:rsid w:val="009E4B8F"/>
    <w:rsid w:val="009E4CB9"/>
    <w:rsid w:val="009E640E"/>
    <w:rsid w:val="009F0869"/>
    <w:rsid w:val="009F1B51"/>
    <w:rsid w:val="009F1D1C"/>
    <w:rsid w:val="009F3086"/>
    <w:rsid w:val="009F362F"/>
    <w:rsid w:val="009F373D"/>
    <w:rsid w:val="009F5040"/>
    <w:rsid w:val="009F644C"/>
    <w:rsid w:val="00A03212"/>
    <w:rsid w:val="00A03839"/>
    <w:rsid w:val="00A04D82"/>
    <w:rsid w:val="00A0581E"/>
    <w:rsid w:val="00A10285"/>
    <w:rsid w:val="00A10F61"/>
    <w:rsid w:val="00A12275"/>
    <w:rsid w:val="00A12AD7"/>
    <w:rsid w:val="00A16A44"/>
    <w:rsid w:val="00A1705B"/>
    <w:rsid w:val="00A21305"/>
    <w:rsid w:val="00A23559"/>
    <w:rsid w:val="00A245DD"/>
    <w:rsid w:val="00A25A90"/>
    <w:rsid w:val="00A25CDE"/>
    <w:rsid w:val="00A3094F"/>
    <w:rsid w:val="00A32A62"/>
    <w:rsid w:val="00A32D0C"/>
    <w:rsid w:val="00A350E9"/>
    <w:rsid w:val="00A3612D"/>
    <w:rsid w:val="00A44480"/>
    <w:rsid w:val="00A46F5D"/>
    <w:rsid w:val="00A474D2"/>
    <w:rsid w:val="00A50539"/>
    <w:rsid w:val="00A50DA0"/>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A33"/>
    <w:rsid w:val="00A816AA"/>
    <w:rsid w:val="00A82111"/>
    <w:rsid w:val="00A93DBF"/>
    <w:rsid w:val="00A94BF2"/>
    <w:rsid w:val="00A94EC8"/>
    <w:rsid w:val="00AA42B3"/>
    <w:rsid w:val="00AA4C65"/>
    <w:rsid w:val="00AA70BC"/>
    <w:rsid w:val="00AB0DB7"/>
    <w:rsid w:val="00AB0EA8"/>
    <w:rsid w:val="00AB50D9"/>
    <w:rsid w:val="00AB531C"/>
    <w:rsid w:val="00AB537C"/>
    <w:rsid w:val="00AB64AA"/>
    <w:rsid w:val="00AC0699"/>
    <w:rsid w:val="00AC259E"/>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6CF"/>
    <w:rsid w:val="00B04F51"/>
    <w:rsid w:val="00B07AC8"/>
    <w:rsid w:val="00B11050"/>
    <w:rsid w:val="00B11BF6"/>
    <w:rsid w:val="00B12694"/>
    <w:rsid w:val="00B14614"/>
    <w:rsid w:val="00B1608D"/>
    <w:rsid w:val="00B161C5"/>
    <w:rsid w:val="00B17FCC"/>
    <w:rsid w:val="00B21EC6"/>
    <w:rsid w:val="00B2484B"/>
    <w:rsid w:val="00B24A00"/>
    <w:rsid w:val="00B25439"/>
    <w:rsid w:val="00B30102"/>
    <w:rsid w:val="00B32D35"/>
    <w:rsid w:val="00B33E8A"/>
    <w:rsid w:val="00B408D6"/>
    <w:rsid w:val="00B427F7"/>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6140"/>
    <w:rsid w:val="00B67956"/>
    <w:rsid w:val="00B7364A"/>
    <w:rsid w:val="00B83757"/>
    <w:rsid w:val="00B83DE8"/>
    <w:rsid w:val="00B87415"/>
    <w:rsid w:val="00B901D2"/>
    <w:rsid w:val="00B929BC"/>
    <w:rsid w:val="00B94B68"/>
    <w:rsid w:val="00B978BD"/>
    <w:rsid w:val="00B979BA"/>
    <w:rsid w:val="00BA0E38"/>
    <w:rsid w:val="00BA5F85"/>
    <w:rsid w:val="00BA75F8"/>
    <w:rsid w:val="00BA767D"/>
    <w:rsid w:val="00BB5218"/>
    <w:rsid w:val="00BB76F9"/>
    <w:rsid w:val="00BC06D9"/>
    <w:rsid w:val="00BC48C0"/>
    <w:rsid w:val="00BC5A14"/>
    <w:rsid w:val="00BC6481"/>
    <w:rsid w:val="00BC6B5A"/>
    <w:rsid w:val="00BD2FBB"/>
    <w:rsid w:val="00BD323C"/>
    <w:rsid w:val="00BD5771"/>
    <w:rsid w:val="00BD7A06"/>
    <w:rsid w:val="00BE2852"/>
    <w:rsid w:val="00BE2A83"/>
    <w:rsid w:val="00BE4BC8"/>
    <w:rsid w:val="00BE4D81"/>
    <w:rsid w:val="00BE57AE"/>
    <w:rsid w:val="00BE5C58"/>
    <w:rsid w:val="00BF08A2"/>
    <w:rsid w:val="00BF0BA7"/>
    <w:rsid w:val="00BF1437"/>
    <w:rsid w:val="00BF1A30"/>
    <w:rsid w:val="00BF25D3"/>
    <w:rsid w:val="00BF5647"/>
    <w:rsid w:val="00BF728A"/>
    <w:rsid w:val="00C00F13"/>
    <w:rsid w:val="00C018F6"/>
    <w:rsid w:val="00C04235"/>
    <w:rsid w:val="00C075FA"/>
    <w:rsid w:val="00C07772"/>
    <w:rsid w:val="00C152CA"/>
    <w:rsid w:val="00C20B8F"/>
    <w:rsid w:val="00C20B9A"/>
    <w:rsid w:val="00C219D5"/>
    <w:rsid w:val="00C223FE"/>
    <w:rsid w:val="00C2308D"/>
    <w:rsid w:val="00C23183"/>
    <w:rsid w:val="00C2562B"/>
    <w:rsid w:val="00C278C9"/>
    <w:rsid w:val="00C30416"/>
    <w:rsid w:val="00C30A6F"/>
    <w:rsid w:val="00C30DF3"/>
    <w:rsid w:val="00C318DE"/>
    <w:rsid w:val="00C33453"/>
    <w:rsid w:val="00C401DE"/>
    <w:rsid w:val="00C441AC"/>
    <w:rsid w:val="00C460E4"/>
    <w:rsid w:val="00C46174"/>
    <w:rsid w:val="00C463DC"/>
    <w:rsid w:val="00C5050F"/>
    <w:rsid w:val="00C50F47"/>
    <w:rsid w:val="00C52198"/>
    <w:rsid w:val="00C524B6"/>
    <w:rsid w:val="00C53B05"/>
    <w:rsid w:val="00C5795F"/>
    <w:rsid w:val="00C619DC"/>
    <w:rsid w:val="00C64FB1"/>
    <w:rsid w:val="00C7231A"/>
    <w:rsid w:val="00C734E4"/>
    <w:rsid w:val="00C74B5A"/>
    <w:rsid w:val="00C873A4"/>
    <w:rsid w:val="00C90EA9"/>
    <w:rsid w:val="00CA1224"/>
    <w:rsid w:val="00CB165F"/>
    <w:rsid w:val="00CB18A2"/>
    <w:rsid w:val="00CB3621"/>
    <w:rsid w:val="00CC1380"/>
    <w:rsid w:val="00CC7D91"/>
    <w:rsid w:val="00CD08DD"/>
    <w:rsid w:val="00CD1A96"/>
    <w:rsid w:val="00CD2824"/>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125AC"/>
    <w:rsid w:val="00D12F91"/>
    <w:rsid w:val="00D155DC"/>
    <w:rsid w:val="00D20D5C"/>
    <w:rsid w:val="00D21EDC"/>
    <w:rsid w:val="00D23502"/>
    <w:rsid w:val="00D237D5"/>
    <w:rsid w:val="00D242BD"/>
    <w:rsid w:val="00D2545E"/>
    <w:rsid w:val="00D2714E"/>
    <w:rsid w:val="00D336EC"/>
    <w:rsid w:val="00D34AAF"/>
    <w:rsid w:val="00D36E59"/>
    <w:rsid w:val="00D40367"/>
    <w:rsid w:val="00D40956"/>
    <w:rsid w:val="00D44FB4"/>
    <w:rsid w:val="00D46BED"/>
    <w:rsid w:val="00D46DD0"/>
    <w:rsid w:val="00D51D58"/>
    <w:rsid w:val="00D53D4E"/>
    <w:rsid w:val="00D55309"/>
    <w:rsid w:val="00D567D8"/>
    <w:rsid w:val="00D56A56"/>
    <w:rsid w:val="00D624FA"/>
    <w:rsid w:val="00D648DD"/>
    <w:rsid w:val="00D66F15"/>
    <w:rsid w:val="00D71C76"/>
    <w:rsid w:val="00D7210F"/>
    <w:rsid w:val="00D72DDC"/>
    <w:rsid w:val="00D761A3"/>
    <w:rsid w:val="00D8078E"/>
    <w:rsid w:val="00D8377A"/>
    <w:rsid w:val="00D83D65"/>
    <w:rsid w:val="00D85ED0"/>
    <w:rsid w:val="00D874D3"/>
    <w:rsid w:val="00D87815"/>
    <w:rsid w:val="00D93BE8"/>
    <w:rsid w:val="00D93F81"/>
    <w:rsid w:val="00D94428"/>
    <w:rsid w:val="00D9558B"/>
    <w:rsid w:val="00D957E5"/>
    <w:rsid w:val="00D95832"/>
    <w:rsid w:val="00D965A7"/>
    <w:rsid w:val="00DA1DA5"/>
    <w:rsid w:val="00DA4A8E"/>
    <w:rsid w:val="00DA52DE"/>
    <w:rsid w:val="00DA673D"/>
    <w:rsid w:val="00DB15E7"/>
    <w:rsid w:val="00DB3214"/>
    <w:rsid w:val="00DB7338"/>
    <w:rsid w:val="00DB7D09"/>
    <w:rsid w:val="00DB7FF7"/>
    <w:rsid w:val="00DC161E"/>
    <w:rsid w:val="00DC7BA5"/>
    <w:rsid w:val="00DD02DE"/>
    <w:rsid w:val="00DD1630"/>
    <w:rsid w:val="00DD2160"/>
    <w:rsid w:val="00DD409B"/>
    <w:rsid w:val="00DD5986"/>
    <w:rsid w:val="00DE07A3"/>
    <w:rsid w:val="00DE109C"/>
    <w:rsid w:val="00DE28F7"/>
    <w:rsid w:val="00DE52B1"/>
    <w:rsid w:val="00DE60E8"/>
    <w:rsid w:val="00DE7687"/>
    <w:rsid w:val="00DE7FC8"/>
    <w:rsid w:val="00DF1DD2"/>
    <w:rsid w:val="00DF4C2E"/>
    <w:rsid w:val="00DF5546"/>
    <w:rsid w:val="00E04FA7"/>
    <w:rsid w:val="00E05729"/>
    <w:rsid w:val="00E068EF"/>
    <w:rsid w:val="00E07DDF"/>
    <w:rsid w:val="00E106CC"/>
    <w:rsid w:val="00E14889"/>
    <w:rsid w:val="00E14B57"/>
    <w:rsid w:val="00E20A48"/>
    <w:rsid w:val="00E212CD"/>
    <w:rsid w:val="00E2161F"/>
    <w:rsid w:val="00E23D5C"/>
    <w:rsid w:val="00E26838"/>
    <w:rsid w:val="00E27CD0"/>
    <w:rsid w:val="00E30092"/>
    <w:rsid w:val="00E306FA"/>
    <w:rsid w:val="00E3226A"/>
    <w:rsid w:val="00E33135"/>
    <w:rsid w:val="00E350DA"/>
    <w:rsid w:val="00E40C89"/>
    <w:rsid w:val="00E44314"/>
    <w:rsid w:val="00E5094F"/>
    <w:rsid w:val="00E52A65"/>
    <w:rsid w:val="00E54BAE"/>
    <w:rsid w:val="00E5576F"/>
    <w:rsid w:val="00E56B3D"/>
    <w:rsid w:val="00E57BF2"/>
    <w:rsid w:val="00E6464A"/>
    <w:rsid w:val="00E72A1E"/>
    <w:rsid w:val="00E7312C"/>
    <w:rsid w:val="00E737B5"/>
    <w:rsid w:val="00E74166"/>
    <w:rsid w:val="00E77D0D"/>
    <w:rsid w:val="00E80DFC"/>
    <w:rsid w:val="00E8334E"/>
    <w:rsid w:val="00E85A70"/>
    <w:rsid w:val="00E872FE"/>
    <w:rsid w:val="00E90217"/>
    <w:rsid w:val="00E90FE4"/>
    <w:rsid w:val="00E91488"/>
    <w:rsid w:val="00E915BD"/>
    <w:rsid w:val="00E95A8F"/>
    <w:rsid w:val="00EA13AE"/>
    <w:rsid w:val="00EA73EF"/>
    <w:rsid w:val="00EB2F2D"/>
    <w:rsid w:val="00EB3C9F"/>
    <w:rsid w:val="00EB51E7"/>
    <w:rsid w:val="00EB5A34"/>
    <w:rsid w:val="00EB7113"/>
    <w:rsid w:val="00EC06BA"/>
    <w:rsid w:val="00EC599B"/>
    <w:rsid w:val="00EC5C40"/>
    <w:rsid w:val="00EC70F0"/>
    <w:rsid w:val="00ED0581"/>
    <w:rsid w:val="00ED0C20"/>
    <w:rsid w:val="00ED2ACE"/>
    <w:rsid w:val="00ED4BDC"/>
    <w:rsid w:val="00ED76E9"/>
    <w:rsid w:val="00EE0830"/>
    <w:rsid w:val="00EE30ED"/>
    <w:rsid w:val="00EE3525"/>
    <w:rsid w:val="00EE45E3"/>
    <w:rsid w:val="00EE552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C61"/>
    <w:rsid w:val="00F30E30"/>
    <w:rsid w:val="00F314C9"/>
    <w:rsid w:val="00F31A13"/>
    <w:rsid w:val="00F34395"/>
    <w:rsid w:val="00F4268F"/>
    <w:rsid w:val="00F44C9E"/>
    <w:rsid w:val="00F454F3"/>
    <w:rsid w:val="00F502BF"/>
    <w:rsid w:val="00F516E8"/>
    <w:rsid w:val="00F52EEF"/>
    <w:rsid w:val="00F53246"/>
    <w:rsid w:val="00F545A1"/>
    <w:rsid w:val="00F60474"/>
    <w:rsid w:val="00F6055A"/>
    <w:rsid w:val="00F61B71"/>
    <w:rsid w:val="00F640C3"/>
    <w:rsid w:val="00F66D50"/>
    <w:rsid w:val="00F72AA8"/>
    <w:rsid w:val="00F75C6B"/>
    <w:rsid w:val="00F8176E"/>
    <w:rsid w:val="00F82B22"/>
    <w:rsid w:val="00F82D97"/>
    <w:rsid w:val="00F849D0"/>
    <w:rsid w:val="00F8516C"/>
    <w:rsid w:val="00F867A3"/>
    <w:rsid w:val="00F961E3"/>
    <w:rsid w:val="00F97788"/>
    <w:rsid w:val="00FA1036"/>
    <w:rsid w:val="00FA24EA"/>
    <w:rsid w:val="00FB1A96"/>
    <w:rsid w:val="00FB59C1"/>
    <w:rsid w:val="00FB635B"/>
    <w:rsid w:val="00FC1AFA"/>
    <w:rsid w:val="00FC4834"/>
    <w:rsid w:val="00FC6ACF"/>
    <w:rsid w:val="00FC74FD"/>
    <w:rsid w:val="00FD0E0C"/>
    <w:rsid w:val="00FD3337"/>
    <w:rsid w:val="00FD50E6"/>
    <w:rsid w:val="00FD63D9"/>
    <w:rsid w:val="00FD7AC0"/>
    <w:rsid w:val="00FE3407"/>
    <w:rsid w:val="00FE4131"/>
    <w:rsid w:val="00FE4A0A"/>
    <w:rsid w:val="00FE4D7D"/>
    <w:rsid w:val="00FE5E40"/>
    <w:rsid w:val="00FE6796"/>
    <w:rsid w:val="00FE6AC1"/>
    <w:rsid w:val="00FF016E"/>
    <w:rsid w:val="00FF10DC"/>
    <w:rsid w:val="00FF3E3A"/>
    <w:rsid w:val="00FF5408"/>
    <w:rsid w:val="04115339"/>
    <w:rsid w:val="0641548F"/>
    <w:rsid w:val="0734625B"/>
    <w:rsid w:val="09C02BBF"/>
    <w:rsid w:val="0ABD67A5"/>
    <w:rsid w:val="0AC74C67"/>
    <w:rsid w:val="0BC24B89"/>
    <w:rsid w:val="0BF608EB"/>
    <w:rsid w:val="0D4A190D"/>
    <w:rsid w:val="0F5F7948"/>
    <w:rsid w:val="10BE71C3"/>
    <w:rsid w:val="11337EFB"/>
    <w:rsid w:val="12F66907"/>
    <w:rsid w:val="130A6356"/>
    <w:rsid w:val="1426405A"/>
    <w:rsid w:val="15562652"/>
    <w:rsid w:val="1583223F"/>
    <w:rsid w:val="160E5BA4"/>
    <w:rsid w:val="17452200"/>
    <w:rsid w:val="176420E2"/>
    <w:rsid w:val="178B74E4"/>
    <w:rsid w:val="18376C5B"/>
    <w:rsid w:val="1A680331"/>
    <w:rsid w:val="1B5653C7"/>
    <w:rsid w:val="1B975ED5"/>
    <w:rsid w:val="1D650CC3"/>
    <w:rsid w:val="1DF36F10"/>
    <w:rsid w:val="1F4D61EB"/>
    <w:rsid w:val="207E6C00"/>
    <w:rsid w:val="22B15D07"/>
    <w:rsid w:val="22DF7DFC"/>
    <w:rsid w:val="238555C9"/>
    <w:rsid w:val="23A32375"/>
    <w:rsid w:val="245501C2"/>
    <w:rsid w:val="24E07E36"/>
    <w:rsid w:val="25D474A1"/>
    <w:rsid w:val="25E01AE5"/>
    <w:rsid w:val="260C0C73"/>
    <w:rsid w:val="272B664F"/>
    <w:rsid w:val="27D0173F"/>
    <w:rsid w:val="28227A69"/>
    <w:rsid w:val="2B0651FF"/>
    <w:rsid w:val="2BEE5854"/>
    <w:rsid w:val="2D2C75CF"/>
    <w:rsid w:val="2D4C2D0F"/>
    <w:rsid w:val="2D8C25BE"/>
    <w:rsid w:val="2ED647A7"/>
    <w:rsid w:val="2FEF61B9"/>
    <w:rsid w:val="307562FE"/>
    <w:rsid w:val="31F01E96"/>
    <w:rsid w:val="320870E0"/>
    <w:rsid w:val="32352F48"/>
    <w:rsid w:val="33ED4BAD"/>
    <w:rsid w:val="345676E2"/>
    <w:rsid w:val="345E214B"/>
    <w:rsid w:val="36405BAA"/>
    <w:rsid w:val="36837E96"/>
    <w:rsid w:val="36C74C41"/>
    <w:rsid w:val="36E81D5E"/>
    <w:rsid w:val="379F2C44"/>
    <w:rsid w:val="387D7DFF"/>
    <w:rsid w:val="3ADC246A"/>
    <w:rsid w:val="3AE8609C"/>
    <w:rsid w:val="3BB448C9"/>
    <w:rsid w:val="3E3B24BF"/>
    <w:rsid w:val="3E6C3FAF"/>
    <w:rsid w:val="3EA51E2C"/>
    <w:rsid w:val="3EAC040D"/>
    <w:rsid w:val="406D1780"/>
    <w:rsid w:val="413D5C6F"/>
    <w:rsid w:val="41DE0C28"/>
    <w:rsid w:val="435C52D6"/>
    <w:rsid w:val="459C36BB"/>
    <w:rsid w:val="488A01D5"/>
    <w:rsid w:val="49A9444F"/>
    <w:rsid w:val="49EE28F9"/>
    <w:rsid w:val="4A9061CF"/>
    <w:rsid w:val="4A955F53"/>
    <w:rsid w:val="4BFD2C74"/>
    <w:rsid w:val="4C234937"/>
    <w:rsid w:val="4D81453D"/>
    <w:rsid w:val="4E960D48"/>
    <w:rsid w:val="4EE707FB"/>
    <w:rsid w:val="51057F79"/>
    <w:rsid w:val="54AA0A30"/>
    <w:rsid w:val="562F0357"/>
    <w:rsid w:val="569F775B"/>
    <w:rsid w:val="57303A7C"/>
    <w:rsid w:val="58E00C77"/>
    <w:rsid w:val="59AD1538"/>
    <w:rsid w:val="5A0B5E95"/>
    <w:rsid w:val="5A246F57"/>
    <w:rsid w:val="5AF00B1A"/>
    <w:rsid w:val="5B4E0B38"/>
    <w:rsid w:val="5B5E75EC"/>
    <w:rsid w:val="5BF13CF3"/>
    <w:rsid w:val="5C2B273D"/>
    <w:rsid w:val="5E164D40"/>
    <w:rsid w:val="5EA1196F"/>
    <w:rsid w:val="5F4F7A12"/>
    <w:rsid w:val="5F9C495E"/>
    <w:rsid w:val="613A17BA"/>
    <w:rsid w:val="617F1A46"/>
    <w:rsid w:val="62C74C67"/>
    <w:rsid w:val="63851CFD"/>
    <w:rsid w:val="69500604"/>
    <w:rsid w:val="69C15A14"/>
    <w:rsid w:val="6A8848D8"/>
    <w:rsid w:val="6BDF5F4E"/>
    <w:rsid w:val="6C597288"/>
    <w:rsid w:val="6C612D7E"/>
    <w:rsid w:val="6C9D1BCF"/>
    <w:rsid w:val="6F0F18E5"/>
    <w:rsid w:val="6F3E4050"/>
    <w:rsid w:val="6F5B5650"/>
    <w:rsid w:val="70F161A9"/>
    <w:rsid w:val="720B608D"/>
    <w:rsid w:val="72323F70"/>
    <w:rsid w:val="75127471"/>
    <w:rsid w:val="768207A5"/>
    <w:rsid w:val="76A2179B"/>
    <w:rsid w:val="76D51348"/>
    <w:rsid w:val="76D66050"/>
    <w:rsid w:val="78565AAF"/>
    <w:rsid w:val="79701A39"/>
    <w:rsid w:val="7AB87EDD"/>
    <w:rsid w:val="7AE64B83"/>
    <w:rsid w:val="7B124FB7"/>
    <w:rsid w:val="7BAE5A06"/>
    <w:rsid w:val="7DDB2B1D"/>
    <w:rsid w:val="7E8E0310"/>
    <w:rsid w:val="7F8E7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460BBD-8957-4170-BE05-78C12263D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CommentText">
    <w:name w:val="annotation text"/>
    <w:basedOn w:val="Normal"/>
    <w:link w:val="CommentTextChar"/>
    <w:qFormat/>
  </w:style>
  <w:style w:type="paragraph" w:styleId="BodyText">
    <w:name w:val="Body Text"/>
    <w:basedOn w:val="Normal"/>
    <w:link w:val="BodyTextChar"/>
    <w:qFormat/>
    <w:pPr>
      <w:spacing w:after="180" w:line="240" w:lineRule="auto"/>
    </w:pPr>
    <w:rPr>
      <w:rFonts w:ascii="Times New Roman" w:hAnsi="Times New Roman" w:cs="Times New Roman"/>
      <w:sz w:val="20"/>
      <w:szCs w:val="20"/>
      <w:lang w:val="en-GB" w:eastAsia="en-US"/>
    </w:rPr>
  </w:style>
  <w:style w:type="paragraph" w:styleId="BalloonText">
    <w:name w:val="Balloon Text"/>
    <w:basedOn w:val="Normal"/>
    <w:link w:val="BalloonTextChar"/>
    <w:qFormat/>
    <w:pPr>
      <w:spacing w:after="0" w:line="240" w:lineRule="auto"/>
    </w:pPr>
    <w:rPr>
      <w:sz w:val="18"/>
      <w:szCs w:val="18"/>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spacing w:line="240" w:lineRule="auto"/>
      <w:jc w:val="center"/>
    </w:pPr>
    <w:rPr>
      <w:sz w:val="18"/>
      <w:szCs w:val="18"/>
    </w:r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H">
    <w:name w:val="TH"/>
    <w:basedOn w:val="Normal"/>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character" w:customStyle="1" w:styleId="BalloonTextChar">
    <w:name w:val="Balloon Text Char"/>
    <w:basedOn w:val="DefaultParagraphFont"/>
    <w:link w:val="BalloonText"/>
    <w:qFormat/>
    <w:rPr>
      <w:rFonts w:asciiTheme="minorHAnsi" w:eastAsiaTheme="minorEastAsia" w:hAnsiTheme="minorHAnsi" w:cstheme="minorBidi"/>
      <w:sz w:val="18"/>
      <w:szCs w:val="18"/>
    </w:rPr>
  </w:style>
  <w:style w:type="paragraph" w:styleId="ListParagraph">
    <w:name w:val="List Paragraph"/>
    <w:basedOn w:val="Normal"/>
    <w:uiPriority w:val="99"/>
    <w:qFormat/>
    <w:pPr>
      <w:ind w:firstLineChars="200" w:firstLine="420"/>
    </w:pPr>
  </w:style>
  <w:style w:type="character" w:customStyle="1" w:styleId="CommentTextChar">
    <w:name w:val="Comment Text Char"/>
    <w:basedOn w:val="DefaultParagraphFont"/>
    <w:link w:val="CommentText"/>
    <w:qFormat/>
    <w:rPr>
      <w:rFonts w:asciiTheme="minorHAnsi" w:eastAsiaTheme="minorEastAsia" w:hAnsiTheme="minorHAnsi" w:cstheme="minorBidi"/>
      <w:sz w:val="22"/>
      <w:szCs w:val="22"/>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HeaderChar">
    <w:name w:val="Header Char"/>
    <w:basedOn w:val="DefaultParagraphFont"/>
    <w:link w:val="Header"/>
    <w:qFormat/>
    <w:rPr>
      <w:rFonts w:asciiTheme="minorHAnsi" w:eastAsiaTheme="minorEastAsia" w:hAnsiTheme="minorHAnsi" w:cstheme="minorBidi"/>
      <w:sz w:val="18"/>
      <w:szCs w:val="18"/>
    </w:rPr>
  </w:style>
  <w:style w:type="character" w:customStyle="1" w:styleId="FooterChar">
    <w:name w:val="Footer Char"/>
    <w:basedOn w:val="DefaultParagraphFont"/>
    <w:link w:val="Footer"/>
    <w:qFormat/>
    <w:rPr>
      <w:rFonts w:asciiTheme="minorHAnsi" w:eastAsiaTheme="minorEastAsia" w:hAnsiTheme="minorHAnsi" w:cstheme="minorBidi"/>
      <w:sz w:val="18"/>
      <w:szCs w:val="18"/>
    </w:rPr>
  </w:style>
  <w:style w:type="character" w:customStyle="1" w:styleId="CaptionChar">
    <w:name w:val="Caption Char"/>
    <w:link w:val="Caption"/>
    <w:qFormat/>
    <w:rPr>
      <w:rFonts w:eastAsia="宋体"/>
      <w:b/>
      <w:bCs/>
      <w:kern w:val="2"/>
      <w:lang w:val="en-GB"/>
    </w:rPr>
  </w:style>
  <w:style w:type="character" w:customStyle="1" w:styleId="BodyTextChar">
    <w:name w:val="Body Text Char"/>
    <w:basedOn w:val="DefaultParagraphFont"/>
    <w:link w:val="BodyText"/>
    <w:qFormat/>
    <w:rPr>
      <w:rFonts w:eastAsiaTheme="minorEastAsia"/>
      <w:lang w:val="en-GB" w:eastAsia="en-US"/>
    </w:rPr>
  </w:style>
  <w:style w:type="paragraph" w:customStyle="1" w:styleId="1">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DefaultParagraphFont"/>
    <w:rsid w:val="00286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CAE6B-2A10-460F-9E23-8FBDDACF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8</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52</cp:revision>
  <dcterms:created xsi:type="dcterms:W3CDTF">2020-08-05T10:28:00Z</dcterms:created>
  <dcterms:modified xsi:type="dcterms:W3CDTF">2020-08-07T07:23:00Z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